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3CC" w:rsidRPr="008973CC" w:rsidRDefault="008973CC" w:rsidP="008973CC">
      <w:pPr>
        <w:spacing w:after="0" w:line="240" w:lineRule="auto"/>
        <w:jc w:val="right"/>
        <w:outlineLvl w:val="2"/>
        <w:rPr>
          <w:rFonts w:ascii="Times New Roman" w:hAnsi="Times New Roman"/>
          <w:b/>
          <w:sz w:val="24"/>
          <w:szCs w:val="24"/>
        </w:rPr>
      </w:pPr>
      <w:r w:rsidRPr="008973CC">
        <w:rPr>
          <w:rFonts w:ascii="Times New Roman" w:hAnsi="Times New Roman"/>
          <w:b/>
          <w:sz w:val="24"/>
          <w:szCs w:val="24"/>
        </w:rPr>
        <w:t>Приложение № 1</w:t>
      </w:r>
      <w:r w:rsidR="00D60DEC">
        <w:rPr>
          <w:rFonts w:ascii="Times New Roman" w:hAnsi="Times New Roman"/>
          <w:b/>
          <w:sz w:val="24"/>
          <w:szCs w:val="24"/>
        </w:rPr>
        <w:t>4</w:t>
      </w:r>
      <w:bookmarkStart w:id="0" w:name="_GoBack"/>
      <w:bookmarkEnd w:id="0"/>
      <w:r w:rsidRPr="008973CC">
        <w:rPr>
          <w:rFonts w:ascii="Times New Roman" w:hAnsi="Times New Roman"/>
          <w:b/>
          <w:sz w:val="24"/>
          <w:szCs w:val="24"/>
        </w:rPr>
        <w:t xml:space="preserve"> </w:t>
      </w:r>
    </w:p>
    <w:p w:rsidR="008973CC" w:rsidRPr="008973CC" w:rsidRDefault="008973CC" w:rsidP="008973CC">
      <w:pPr>
        <w:spacing w:after="0" w:line="240" w:lineRule="auto"/>
        <w:outlineLvl w:val="2"/>
        <w:rPr>
          <w:rFonts w:ascii="Times New Roman" w:hAnsi="Times New Roman"/>
          <w:b/>
          <w:sz w:val="24"/>
          <w:szCs w:val="24"/>
        </w:rPr>
      </w:pPr>
    </w:p>
    <w:p w:rsidR="008973CC" w:rsidRPr="008973CC" w:rsidRDefault="008973CC" w:rsidP="008973CC">
      <w:pPr>
        <w:spacing w:after="0" w:line="240" w:lineRule="auto"/>
        <w:jc w:val="center"/>
        <w:outlineLvl w:val="2"/>
        <w:rPr>
          <w:rFonts w:ascii="Times New Roman" w:hAnsi="Times New Roman"/>
          <w:b/>
          <w:sz w:val="24"/>
          <w:szCs w:val="24"/>
        </w:rPr>
      </w:pPr>
      <w:r w:rsidRPr="008973CC">
        <w:rPr>
          <w:rFonts w:ascii="Times New Roman" w:hAnsi="Times New Roman"/>
          <w:b/>
          <w:sz w:val="24"/>
          <w:szCs w:val="24"/>
        </w:rPr>
        <w:t>Онкологические заболевания в мире: статистика и прогноз</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Злокачественные новообразования являются одной из основных причин смерти и </w:t>
      </w:r>
      <w:proofErr w:type="spellStart"/>
      <w:r w:rsidRPr="008973CC">
        <w:rPr>
          <w:rFonts w:ascii="Times New Roman" w:hAnsi="Times New Roman"/>
          <w:sz w:val="24"/>
          <w:szCs w:val="24"/>
        </w:rPr>
        <w:t>инвалидизации</w:t>
      </w:r>
      <w:proofErr w:type="spellEnd"/>
      <w:r w:rsidRPr="008973CC">
        <w:rPr>
          <w:rFonts w:ascii="Times New Roman" w:hAnsi="Times New Roman"/>
          <w:sz w:val="24"/>
          <w:szCs w:val="24"/>
        </w:rPr>
        <w:t xml:space="preserve"> населения развитых, а в последние годы и развивающихся стран. Экономические потери связаны со значительными затратами на социальное обеспечение и страхование в связи с высокой стоимостью лечения, профилактических и реабилитационных мероприятий, длительной, часто необратимой, утратой трудоспособности.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Согласно данным ВОЗ</w:t>
      </w:r>
      <w:r w:rsidRPr="008973CC">
        <w:rPr>
          <w:rFonts w:ascii="Times New Roman" w:hAnsi="Times New Roman"/>
          <w:sz w:val="24"/>
          <w:szCs w:val="24"/>
          <w:vertAlign w:val="superscript"/>
        </w:rPr>
        <w:footnoteReference w:id="1"/>
      </w:r>
      <w:r w:rsidRPr="008973CC">
        <w:rPr>
          <w:rFonts w:ascii="Times New Roman" w:hAnsi="Times New Roman"/>
          <w:sz w:val="24"/>
          <w:szCs w:val="24"/>
        </w:rPr>
        <w:t>, в мире выявлено около 14 млн новых случаев заболевания и 8,2 млн случаев смерти от рака. По прогнозам ВОЗ, в ближайшие 20 лет число новых случаев заболевания возрастет примерно на 70%.</w:t>
      </w: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drawing>
          <wp:inline distT="0" distB="0" distL="0" distR="0" wp14:anchorId="43A52EF7" wp14:editId="330798F7">
            <wp:extent cx="5514975" cy="234315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bookmarkStart w:id="1" w:name="_Ref413094008"/>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w:t>
      </w:r>
      <w:r w:rsidRPr="008973CC">
        <w:rPr>
          <w:rFonts w:ascii="Times New Roman" w:hAnsi="Times New Roman"/>
          <w:b/>
          <w:color w:val="002060"/>
          <w:sz w:val="24"/>
          <w:szCs w:val="24"/>
        </w:rPr>
        <w:fldChar w:fldCharType="end"/>
      </w:r>
      <w:bookmarkEnd w:id="1"/>
      <w:r w:rsidRPr="008973CC">
        <w:rPr>
          <w:rFonts w:ascii="Times New Roman" w:hAnsi="Times New Roman"/>
          <w:b/>
          <w:color w:val="002060"/>
          <w:sz w:val="24"/>
          <w:szCs w:val="24"/>
        </w:rPr>
        <w:t>. Заболеваемость раком в мире, млн случаев, статистика и прогноз</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Среди основных причин заболеваемости выделяют следующие:</w:t>
      </w:r>
    </w:p>
    <w:p w:rsidR="008973CC" w:rsidRPr="008973CC" w:rsidRDefault="008973CC" w:rsidP="008973CC">
      <w:pPr>
        <w:numPr>
          <w:ilvl w:val="0"/>
          <w:numId w:val="1"/>
        </w:numPr>
        <w:spacing w:after="0" w:line="240" w:lineRule="auto"/>
        <w:ind w:left="0"/>
        <w:contextualSpacing/>
        <w:jc w:val="both"/>
        <w:rPr>
          <w:rFonts w:ascii="Times New Roman" w:hAnsi="Times New Roman"/>
          <w:sz w:val="24"/>
          <w:szCs w:val="24"/>
        </w:rPr>
      </w:pPr>
      <w:r w:rsidRPr="008973CC">
        <w:rPr>
          <w:rFonts w:ascii="Times New Roman" w:hAnsi="Times New Roman"/>
          <w:sz w:val="24"/>
          <w:szCs w:val="24"/>
        </w:rPr>
        <w:t>Генетический фактор</w:t>
      </w:r>
    </w:p>
    <w:p w:rsidR="008973CC" w:rsidRPr="008973CC" w:rsidRDefault="008973CC" w:rsidP="008973CC">
      <w:pPr>
        <w:numPr>
          <w:ilvl w:val="0"/>
          <w:numId w:val="1"/>
        </w:numPr>
        <w:spacing w:after="0" w:line="240" w:lineRule="auto"/>
        <w:ind w:left="0"/>
        <w:contextualSpacing/>
        <w:jc w:val="both"/>
        <w:rPr>
          <w:rFonts w:ascii="Times New Roman" w:hAnsi="Times New Roman"/>
          <w:sz w:val="24"/>
          <w:szCs w:val="24"/>
        </w:rPr>
      </w:pPr>
      <w:r w:rsidRPr="008973CC">
        <w:rPr>
          <w:rFonts w:ascii="Times New Roman" w:hAnsi="Times New Roman"/>
          <w:sz w:val="24"/>
          <w:szCs w:val="24"/>
        </w:rPr>
        <w:t>Внешние факторы (физические, химические и биологические канцерогены)</w:t>
      </w:r>
    </w:p>
    <w:p w:rsidR="008973CC" w:rsidRPr="008973CC" w:rsidRDefault="008973CC" w:rsidP="008973CC">
      <w:pPr>
        <w:numPr>
          <w:ilvl w:val="0"/>
          <w:numId w:val="1"/>
        </w:numPr>
        <w:spacing w:after="0" w:line="240" w:lineRule="auto"/>
        <w:ind w:left="0"/>
        <w:contextualSpacing/>
        <w:jc w:val="both"/>
        <w:rPr>
          <w:rFonts w:ascii="Times New Roman" w:hAnsi="Times New Roman"/>
          <w:sz w:val="24"/>
          <w:szCs w:val="24"/>
        </w:rPr>
      </w:pPr>
      <w:r w:rsidRPr="008973CC">
        <w:rPr>
          <w:rFonts w:ascii="Times New Roman" w:hAnsi="Times New Roman"/>
          <w:sz w:val="24"/>
          <w:szCs w:val="24"/>
        </w:rPr>
        <w:t>Старение (с возрастом заболеваемость резко возрастает).</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География распределения заболеваемости и смертности представлена на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_Ref412574625 \h  \* MERGEFORMAT </w:instrText>
      </w:r>
      <w:r w:rsidRPr="008973CC">
        <w:rPr>
          <w:rFonts w:ascii="Times New Roman" w:hAnsi="Times New Roman"/>
          <w:sz w:val="24"/>
          <w:szCs w:val="24"/>
        </w:rPr>
      </w:r>
      <w:r w:rsidRPr="008973CC">
        <w:rPr>
          <w:rFonts w:ascii="Times New Roman" w:hAnsi="Times New Roman"/>
          <w:sz w:val="24"/>
          <w:szCs w:val="24"/>
        </w:rPr>
        <w:fldChar w:fldCharType="separate"/>
      </w:r>
      <w:r w:rsidRPr="008973CC">
        <w:rPr>
          <w:rFonts w:ascii="Times New Roman" w:hAnsi="Times New Roman"/>
          <w:b/>
          <w:color w:val="002060"/>
          <w:sz w:val="24"/>
          <w:szCs w:val="24"/>
        </w:rPr>
        <w:t xml:space="preserve">Рис. </w:t>
      </w:r>
      <w:r w:rsidRPr="008973CC">
        <w:rPr>
          <w:rFonts w:ascii="Times New Roman" w:hAnsi="Times New Roman"/>
          <w:b/>
          <w:noProof/>
          <w:color w:val="002060"/>
          <w:sz w:val="24"/>
          <w:szCs w:val="24"/>
        </w:rPr>
        <w:t>2</w:t>
      </w:r>
      <w:r w:rsidRPr="008973CC">
        <w:rPr>
          <w:rFonts w:ascii="Times New Roman" w:hAnsi="Times New Roman"/>
          <w:sz w:val="24"/>
          <w:szCs w:val="24"/>
        </w:rPr>
        <w:fldChar w:fldCharType="end"/>
      </w:r>
      <w:r w:rsidRPr="008973CC">
        <w:rPr>
          <w:rFonts w:ascii="Times New Roman" w:hAnsi="Times New Roman"/>
          <w:sz w:val="24"/>
          <w:szCs w:val="24"/>
        </w:rPr>
        <w:t xml:space="preserve"> и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_Ref413695228 \h  \* MERGEFORMAT </w:instrText>
      </w:r>
      <w:r w:rsidRPr="008973CC">
        <w:rPr>
          <w:rFonts w:ascii="Times New Roman" w:hAnsi="Times New Roman"/>
          <w:sz w:val="24"/>
          <w:szCs w:val="24"/>
        </w:rPr>
      </w:r>
      <w:r w:rsidRPr="008973CC">
        <w:rPr>
          <w:rFonts w:ascii="Times New Roman" w:hAnsi="Times New Roman"/>
          <w:sz w:val="24"/>
          <w:szCs w:val="24"/>
        </w:rPr>
        <w:fldChar w:fldCharType="separate"/>
      </w:r>
      <w:r w:rsidRPr="008973CC">
        <w:rPr>
          <w:rFonts w:ascii="Times New Roman" w:hAnsi="Times New Roman"/>
          <w:b/>
          <w:color w:val="002060"/>
          <w:sz w:val="24"/>
          <w:szCs w:val="24"/>
        </w:rPr>
        <w:t xml:space="preserve">Рис. </w:t>
      </w:r>
      <w:r w:rsidRPr="008973CC">
        <w:rPr>
          <w:rFonts w:ascii="Times New Roman" w:hAnsi="Times New Roman"/>
          <w:b/>
          <w:noProof/>
          <w:color w:val="002060"/>
          <w:sz w:val="24"/>
          <w:szCs w:val="24"/>
        </w:rPr>
        <w:t>3</w:t>
      </w:r>
      <w:r w:rsidRPr="008973CC">
        <w:rPr>
          <w:rFonts w:ascii="Times New Roman" w:hAnsi="Times New Roman"/>
          <w:sz w:val="24"/>
          <w:szCs w:val="24"/>
        </w:rPr>
        <w:fldChar w:fldCharType="end"/>
      </w:r>
      <w:r w:rsidRPr="008973CC">
        <w:rPr>
          <w:rFonts w:ascii="Times New Roman" w:hAnsi="Times New Roman"/>
          <w:sz w:val="24"/>
          <w:szCs w:val="24"/>
        </w:rPr>
        <w:t xml:space="preserve">. Видно, что самые высокие показатели заболеваемости в самых развитых странах: Австралия и Новая Зеландия, Северная Америка, Западная и Северная Европа, а самые низкие показатели – в странах с низким уровнем жизни, таких как страны Африки и Южной и Центральной Азии.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то же время можно заметить, что уровень смертности относительно заболевших самый низкий именно в развитых странах, что объясняется эффективностью диагностики (в том числе ранней) и высоким уровнем терапии.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lastRenderedPageBreak/>
        <w:drawing>
          <wp:inline distT="0" distB="0" distL="0" distR="0" wp14:anchorId="45841066" wp14:editId="7675FCA2">
            <wp:extent cx="5419725" cy="59531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9725" cy="5953125"/>
                    </a:xfrm>
                    <a:prstGeom prst="rect">
                      <a:avLst/>
                    </a:prstGeom>
                    <a:noFill/>
                    <a:ln>
                      <a:noFill/>
                    </a:ln>
                  </pic:spPr>
                </pic:pic>
              </a:graphicData>
            </a:graphic>
          </wp:inline>
        </w:drawing>
      </w:r>
    </w:p>
    <w:p w:rsidR="008973CC" w:rsidRPr="008973CC" w:rsidRDefault="008973CC" w:rsidP="008973CC">
      <w:pPr>
        <w:spacing w:after="0" w:line="240" w:lineRule="auto"/>
        <w:ind w:firstLine="567"/>
        <w:jc w:val="both"/>
        <w:rPr>
          <w:rFonts w:ascii="Times New Roman" w:hAnsi="Times New Roman"/>
          <w:b/>
          <w:color w:val="002060"/>
          <w:sz w:val="24"/>
          <w:szCs w:val="24"/>
        </w:rPr>
      </w:pPr>
      <w:bookmarkStart w:id="2" w:name="_Ref412574625"/>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2</w:t>
      </w:r>
      <w:r w:rsidRPr="008973CC">
        <w:rPr>
          <w:rFonts w:ascii="Times New Roman" w:hAnsi="Times New Roman"/>
          <w:b/>
          <w:color w:val="002060"/>
          <w:sz w:val="24"/>
          <w:szCs w:val="24"/>
        </w:rPr>
        <w:fldChar w:fldCharType="end"/>
      </w:r>
      <w:bookmarkEnd w:id="2"/>
      <w:r w:rsidRPr="008973CC">
        <w:rPr>
          <w:rFonts w:ascii="Times New Roman" w:hAnsi="Times New Roman"/>
          <w:b/>
          <w:color w:val="002060"/>
          <w:sz w:val="24"/>
          <w:szCs w:val="24"/>
        </w:rPr>
        <w:t>. Распределение заболеваемости и смертности по регионам, случаев на 100 тыс. человек</w:t>
      </w:r>
      <w:r w:rsidRPr="008973CC">
        <w:rPr>
          <w:rFonts w:ascii="Times New Roman" w:hAnsi="Times New Roman"/>
          <w:b/>
          <w:color w:val="002060"/>
          <w:sz w:val="24"/>
          <w:szCs w:val="24"/>
          <w:vertAlign w:val="superscript"/>
        </w:rPr>
        <w:footnoteReference w:id="2"/>
      </w:r>
    </w:p>
    <w:p w:rsidR="008973CC" w:rsidRPr="008973CC" w:rsidRDefault="008973CC" w:rsidP="008973CC">
      <w:pPr>
        <w:spacing w:after="0" w:line="240" w:lineRule="auto"/>
        <w:jc w:val="both"/>
        <w:rPr>
          <w:rFonts w:ascii="Times New Roman" w:hAnsi="Times New Roman"/>
          <w:sz w:val="24"/>
          <w:szCs w:val="24"/>
        </w:rPr>
      </w:pPr>
      <w:r w:rsidRPr="008973CC">
        <w:rPr>
          <w:rFonts w:ascii="Times New Roman" w:hAnsi="Times New Roman"/>
          <w:noProof/>
          <w:sz w:val="24"/>
          <w:szCs w:val="24"/>
        </w:rPr>
        <w:lastRenderedPageBreak/>
        <w:drawing>
          <wp:inline distT="0" distB="0" distL="0" distR="0" wp14:anchorId="2769BC0D" wp14:editId="1E601977">
            <wp:extent cx="6096000" cy="326707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l="2251" r="2238"/>
                    <a:stretch>
                      <a:fillRect/>
                    </a:stretch>
                  </pic:blipFill>
                  <pic:spPr bwMode="auto">
                    <a:xfrm>
                      <a:off x="0" y="0"/>
                      <a:ext cx="6096000" cy="3267075"/>
                    </a:xfrm>
                    <a:prstGeom prst="rect">
                      <a:avLst/>
                    </a:prstGeom>
                    <a:noFill/>
                    <a:ln>
                      <a:noFill/>
                    </a:ln>
                  </pic:spPr>
                </pic:pic>
              </a:graphicData>
            </a:graphic>
          </wp:inline>
        </w:drawing>
      </w:r>
    </w:p>
    <w:p w:rsidR="008973CC" w:rsidRPr="008973CC" w:rsidRDefault="008973CC" w:rsidP="008973CC">
      <w:pPr>
        <w:spacing w:after="0" w:line="240" w:lineRule="auto"/>
        <w:ind w:firstLine="567"/>
        <w:jc w:val="both"/>
        <w:rPr>
          <w:rFonts w:ascii="Times New Roman" w:hAnsi="Times New Roman"/>
          <w:b/>
          <w:color w:val="002060"/>
          <w:sz w:val="24"/>
          <w:szCs w:val="24"/>
        </w:rPr>
      </w:pPr>
      <w:bookmarkStart w:id="3" w:name="_Ref413695228"/>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3</w:t>
      </w:r>
      <w:r w:rsidRPr="008973CC">
        <w:rPr>
          <w:rFonts w:ascii="Times New Roman" w:hAnsi="Times New Roman"/>
          <w:b/>
          <w:color w:val="002060"/>
          <w:sz w:val="24"/>
          <w:szCs w:val="24"/>
        </w:rPr>
        <w:fldChar w:fldCharType="end"/>
      </w:r>
      <w:bookmarkEnd w:id="3"/>
      <w:r w:rsidRPr="008973CC">
        <w:rPr>
          <w:rFonts w:ascii="Times New Roman" w:hAnsi="Times New Roman"/>
          <w:b/>
          <w:color w:val="002060"/>
          <w:sz w:val="24"/>
          <w:szCs w:val="24"/>
        </w:rPr>
        <w:t>. Распределение заболеваемости в мире, случаев на 100 тыс. человек</w:t>
      </w:r>
      <w:r w:rsidRPr="008973CC">
        <w:rPr>
          <w:rFonts w:ascii="Times New Roman" w:hAnsi="Times New Roman"/>
          <w:b/>
          <w:color w:val="002060"/>
          <w:sz w:val="24"/>
          <w:szCs w:val="24"/>
          <w:vertAlign w:val="superscript"/>
        </w:rPr>
        <w:footnoteReference w:id="3"/>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целом, средний ежегодный прирост выявленных заболеваний составляет, по прогнозам ВОЗ, чуть более 2%. Прирост населения при этом составит около 1% в год. В развитых странах прогнозный прирост заболеваемости в среднем выше, поскольку учитывает тенденцию роста продолжительности жизни; в бедных странах рост обусловлен быстрым приростом населения. Рост заболеваемости раком в России по данным ВОЗ в ближайшие 20 лет прогнозируется на 6,5%, или на 0,3% в год.</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Согласно данным Всемирного Банка</w:t>
      </w:r>
      <w:r w:rsidRPr="008973CC">
        <w:rPr>
          <w:rStyle w:val="a8"/>
          <w:rFonts w:ascii="Times New Roman" w:hAnsi="Times New Roman"/>
          <w:sz w:val="24"/>
          <w:szCs w:val="24"/>
        </w:rPr>
        <w:footnoteReference w:id="4"/>
      </w:r>
      <w:r w:rsidRPr="008973CC">
        <w:rPr>
          <w:rFonts w:ascii="Times New Roman" w:hAnsi="Times New Roman"/>
          <w:sz w:val="24"/>
          <w:szCs w:val="24"/>
        </w:rPr>
        <w:t>, мировые расходы на здравоохранение за 2012 год составили 7 498 млрд долл. США. Показатель расходов на душу населения в разных странах отличается на несколько порядков: в лидирующих по этому показателю США расходы составляют 8 895 долларов на человека в год, в то время как в Индии этот показатель всего 61 доллар. В России расходы составляют 887 долларов на человека, при этом почти 40% расходов приходится на частный сектор, что говорит о том, что платежеспособный спрос сложился и вероятно будет расти.</w:t>
      </w:r>
    </w:p>
    <w:p w:rsidR="008973CC" w:rsidRPr="008973CC" w:rsidRDefault="008973CC" w:rsidP="008973CC">
      <w:pPr>
        <w:spacing w:after="0" w:line="240" w:lineRule="auto"/>
        <w:ind w:firstLine="567"/>
        <w:jc w:val="right"/>
        <w:rPr>
          <w:rFonts w:ascii="Times New Roman" w:hAnsi="Times New Roman"/>
          <w:b/>
          <w:color w:val="002060"/>
          <w:sz w:val="24"/>
          <w:szCs w:val="24"/>
        </w:rPr>
      </w:pPr>
      <w:bookmarkStart w:id="4" w:name="_Ref413787432"/>
    </w:p>
    <w:p w:rsidR="008973CC" w:rsidRPr="008973CC" w:rsidRDefault="008973CC" w:rsidP="008973CC">
      <w:pPr>
        <w:spacing w:after="0" w:line="240" w:lineRule="auto"/>
        <w:ind w:firstLine="567"/>
        <w:rPr>
          <w:rFonts w:ascii="Times New Roman" w:hAnsi="Times New Roman"/>
          <w:sz w:val="24"/>
          <w:szCs w:val="24"/>
        </w:rPr>
      </w:pPr>
      <w:r w:rsidRPr="008973CC">
        <w:rPr>
          <w:rFonts w:ascii="Times New Roman" w:hAnsi="Times New Roman"/>
          <w:b/>
          <w:color w:val="002060"/>
          <w:sz w:val="24"/>
          <w:szCs w:val="24"/>
        </w:rPr>
        <w:t xml:space="preserve">Табл.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Табл.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w:t>
      </w:r>
      <w:r w:rsidRPr="008973CC">
        <w:rPr>
          <w:rFonts w:ascii="Times New Roman" w:hAnsi="Times New Roman"/>
          <w:b/>
          <w:color w:val="002060"/>
          <w:sz w:val="24"/>
          <w:szCs w:val="24"/>
        </w:rPr>
        <w:fldChar w:fldCharType="end"/>
      </w:r>
      <w:bookmarkEnd w:id="4"/>
      <w:r w:rsidRPr="008973CC">
        <w:rPr>
          <w:rFonts w:ascii="Times New Roman" w:hAnsi="Times New Roman"/>
          <w:b/>
          <w:color w:val="002060"/>
          <w:sz w:val="24"/>
          <w:szCs w:val="24"/>
        </w:rPr>
        <w:t>. Расходы на здравоохранение в разных странах</w:t>
      </w:r>
    </w:p>
    <w:tbl>
      <w:tblPr>
        <w:tblW w:w="9760" w:type="dxa"/>
        <w:tblBorders>
          <w:top w:val="single" w:sz="4" w:space="0" w:color="4F81BD"/>
          <w:left w:val="single" w:sz="4" w:space="0" w:color="4F81BD"/>
          <w:bottom w:val="single" w:sz="4" w:space="0" w:color="4F81BD"/>
          <w:right w:val="single" w:sz="4" w:space="0" w:color="4F81BD"/>
        </w:tblBorders>
        <w:tblLayout w:type="fixed"/>
        <w:tblLook w:val="0060" w:firstRow="1" w:lastRow="1" w:firstColumn="0" w:lastColumn="0" w:noHBand="0" w:noVBand="0"/>
      </w:tblPr>
      <w:tblGrid>
        <w:gridCol w:w="1518"/>
        <w:gridCol w:w="1622"/>
        <w:gridCol w:w="1621"/>
        <w:gridCol w:w="1755"/>
        <w:gridCol w:w="1622"/>
        <w:gridCol w:w="1622"/>
      </w:tblGrid>
      <w:tr w:rsidR="008973CC" w:rsidRPr="008973CC" w:rsidTr="00355141">
        <w:trPr>
          <w:trHeight w:val="599"/>
          <w:tblHeader/>
        </w:trPr>
        <w:tc>
          <w:tcPr>
            <w:tcW w:w="1518" w:type="dxa"/>
            <w:tcBorders>
              <w:left w:val="single" w:sz="4" w:space="0" w:color="4F81BD"/>
              <w:right w:val="single" w:sz="4" w:space="0" w:color="4F81BD"/>
            </w:tcBorders>
            <w:shd w:val="clear" w:color="auto" w:fill="4F81BD"/>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Регион/ страна</w:t>
            </w:r>
          </w:p>
        </w:tc>
        <w:tc>
          <w:tcPr>
            <w:tcW w:w="1622" w:type="dxa"/>
            <w:shd w:val="clear" w:color="auto" w:fill="4F81BD"/>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Расходы на здраво охранение в процентах от ВВП</w:t>
            </w:r>
          </w:p>
        </w:tc>
        <w:tc>
          <w:tcPr>
            <w:tcW w:w="1621" w:type="dxa"/>
            <w:tcBorders>
              <w:left w:val="single" w:sz="4" w:space="0" w:color="4F81BD"/>
              <w:right w:val="single" w:sz="4" w:space="0" w:color="4F81BD"/>
            </w:tcBorders>
            <w:shd w:val="clear" w:color="auto" w:fill="4F81BD"/>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Расходы на здраво охранение на душу населения долл. США</w:t>
            </w:r>
          </w:p>
        </w:tc>
        <w:tc>
          <w:tcPr>
            <w:tcW w:w="1755" w:type="dxa"/>
            <w:shd w:val="clear" w:color="auto" w:fill="4F81BD"/>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Расходы на здраво охранение на душу населения долл. США по ППС</w:t>
            </w:r>
          </w:p>
        </w:tc>
        <w:tc>
          <w:tcPr>
            <w:tcW w:w="1622" w:type="dxa"/>
            <w:tcBorders>
              <w:left w:val="single" w:sz="4" w:space="0" w:color="4F81BD"/>
              <w:right w:val="single" w:sz="4" w:space="0" w:color="4F81BD"/>
            </w:tcBorders>
            <w:shd w:val="clear" w:color="auto" w:fill="4F81BD"/>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Доля государственных расходов в расходах на здравоохранение</w:t>
            </w:r>
          </w:p>
        </w:tc>
        <w:tc>
          <w:tcPr>
            <w:tcW w:w="1622" w:type="dxa"/>
            <w:shd w:val="clear" w:color="auto" w:fill="4F81BD"/>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Ожидаемая продолжительность жизни</w:t>
            </w:r>
          </w:p>
        </w:tc>
      </w:tr>
      <w:tr w:rsidR="008973CC" w:rsidRPr="008973CC" w:rsidTr="00355141">
        <w:trPr>
          <w:trHeight w:val="153"/>
        </w:trPr>
        <w:tc>
          <w:tcPr>
            <w:tcW w:w="151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color w:val="000000"/>
                <w:sz w:val="24"/>
                <w:szCs w:val="24"/>
              </w:rPr>
            </w:pPr>
            <w:r w:rsidRPr="008973CC">
              <w:rPr>
                <w:rFonts w:ascii="Times New Roman" w:hAnsi="Times New Roman"/>
                <w:bCs/>
                <w:color w:val="000000"/>
                <w:sz w:val="24"/>
                <w:szCs w:val="24"/>
              </w:rPr>
              <w:t>Германия</w:t>
            </w:r>
          </w:p>
        </w:tc>
        <w:tc>
          <w:tcPr>
            <w:tcW w:w="1622" w:type="dxa"/>
            <w:tcBorders>
              <w:top w:val="single" w:sz="4" w:space="0" w:color="4F81BD"/>
              <w:bottom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11,3%</w:t>
            </w:r>
          </w:p>
        </w:tc>
        <w:tc>
          <w:tcPr>
            <w:tcW w:w="162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4 683</w:t>
            </w:r>
          </w:p>
        </w:tc>
        <w:tc>
          <w:tcPr>
            <w:tcW w:w="1755"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4 617</w:t>
            </w:r>
          </w:p>
        </w:tc>
        <w:tc>
          <w:tcPr>
            <w:tcW w:w="162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76,3%</w:t>
            </w:r>
          </w:p>
        </w:tc>
        <w:tc>
          <w:tcPr>
            <w:tcW w:w="1622"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81</w:t>
            </w:r>
          </w:p>
        </w:tc>
      </w:tr>
      <w:tr w:rsidR="008973CC" w:rsidRPr="008973CC" w:rsidTr="00355141">
        <w:trPr>
          <w:trHeight w:val="153"/>
        </w:trPr>
        <w:tc>
          <w:tcPr>
            <w:tcW w:w="1518"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bCs/>
                <w:color w:val="000000"/>
                <w:sz w:val="24"/>
                <w:szCs w:val="24"/>
              </w:rPr>
            </w:pPr>
            <w:r w:rsidRPr="008973CC">
              <w:rPr>
                <w:rFonts w:ascii="Times New Roman" w:hAnsi="Times New Roman"/>
                <w:bCs/>
                <w:color w:val="000000"/>
                <w:sz w:val="24"/>
                <w:szCs w:val="24"/>
              </w:rPr>
              <w:t>Финляндия</w:t>
            </w:r>
          </w:p>
        </w:tc>
        <w:tc>
          <w:tcPr>
            <w:tcW w:w="1622" w:type="dxa"/>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9,1%</w:t>
            </w:r>
          </w:p>
        </w:tc>
        <w:tc>
          <w:tcPr>
            <w:tcW w:w="1621"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4 232</w:t>
            </w:r>
          </w:p>
        </w:tc>
        <w:tc>
          <w:tcPr>
            <w:tcW w:w="1755"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3 545</w:t>
            </w:r>
          </w:p>
        </w:tc>
        <w:tc>
          <w:tcPr>
            <w:tcW w:w="1622"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75,4%</w:t>
            </w:r>
          </w:p>
        </w:tc>
        <w:tc>
          <w:tcPr>
            <w:tcW w:w="1622"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81</w:t>
            </w:r>
          </w:p>
        </w:tc>
      </w:tr>
      <w:tr w:rsidR="008973CC" w:rsidRPr="008973CC" w:rsidTr="00355141">
        <w:trPr>
          <w:trHeight w:val="153"/>
        </w:trPr>
        <w:tc>
          <w:tcPr>
            <w:tcW w:w="151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bCs/>
                <w:color w:val="000000"/>
                <w:sz w:val="24"/>
                <w:szCs w:val="24"/>
              </w:rPr>
            </w:pPr>
            <w:r w:rsidRPr="008973CC">
              <w:rPr>
                <w:rFonts w:ascii="Times New Roman" w:hAnsi="Times New Roman"/>
                <w:bCs/>
                <w:color w:val="000000"/>
                <w:sz w:val="24"/>
                <w:szCs w:val="24"/>
              </w:rPr>
              <w:t>Польша</w:t>
            </w:r>
          </w:p>
        </w:tc>
        <w:tc>
          <w:tcPr>
            <w:tcW w:w="1622" w:type="dxa"/>
            <w:tcBorders>
              <w:top w:val="single" w:sz="4" w:space="0" w:color="4F81BD"/>
              <w:bottom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6,7%</w:t>
            </w:r>
          </w:p>
        </w:tc>
        <w:tc>
          <w:tcPr>
            <w:tcW w:w="162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854</w:t>
            </w:r>
          </w:p>
        </w:tc>
        <w:tc>
          <w:tcPr>
            <w:tcW w:w="1755"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1 489</w:t>
            </w:r>
          </w:p>
        </w:tc>
        <w:tc>
          <w:tcPr>
            <w:tcW w:w="162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70,1%</w:t>
            </w:r>
          </w:p>
        </w:tc>
        <w:tc>
          <w:tcPr>
            <w:tcW w:w="1622"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77</w:t>
            </w:r>
          </w:p>
        </w:tc>
      </w:tr>
      <w:tr w:rsidR="008973CC" w:rsidRPr="008973CC" w:rsidTr="00355141">
        <w:trPr>
          <w:trHeight w:val="153"/>
        </w:trPr>
        <w:tc>
          <w:tcPr>
            <w:tcW w:w="1518"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bCs/>
                <w:color w:val="000000"/>
                <w:sz w:val="24"/>
                <w:szCs w:val="24"/>
              </w:rPr>
            </w:pPr>
            <w:r w:rsidRPr="008973CC">
              <w:rPr>
                <w:rFonts w:ascii="Times New Roman" w:hAnsi="Times New Roman"/>
                <w:bCs/>
                <w:color w:val="000000"/>
                <w:sz w:val="24"/>
                <w:szCs w:val="24"/>
              </w:rPr>
              <w:t>Япония</w:t>
            </w:r>
          </w:p>
        </w:tc>
        <w:tc>
          <w:tcPr>
            <w:tcW w:w="1622" w:type="dxa"/>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10,1%</w:t>
            </w:r>
          </w:p>
        </w:tc>
        <w:tc>
          <w:tcPr>
            <w:tcW w:w="1621"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4 752</w:t>
            </w:r>
          </w:p>
        </w:tc>
        <w:tc>
          <w:tcPr>
            <w:tcW w:w="1755"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3 578</w:t>
            </w:r>
          </w:p>
        </w:tc>
        <w:tc>
          <w:tcPr>
            <w:tcW w:w="1622"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82,5%</w:t>
            </w:r>
          </w:p>
        </w:tc>
        <w:tc>
          <w:tcPr>
            <w:tcW w:w="1622"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83</w:t>
            </w:r>
          </w:p>
        </w:tc>
      </w:tr>
      <w:tr w:rsidR="008973CC" w:rsidRPr="008973CC" w:rsidTr="00355141">
        <w:trPr>
          <w:trHeight w:val="138"/>
        </w:trPr>
        <w:tc>
          <w:tcPr>
            <w:tcW w:w="151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color w:val="000000"/>
                <w:sz w:val="24"/>
                <w:szCs w:val="24"/>
              </w:rPr>
            </w:pPr>
            <w:r w:rsidRPr="008973CC">
              <w:rPr>
                <w:rFonts w:ascii="Times New Roman" w:hAnsi="Times New Roman"/>
                <w:bCs/>
                <w:color w:val="000000"/>
                <w:sz w:val="24"/>
                <w:szCs w:val="24"/>
              </w:rPr>
              <w:t xml:space="preserve">США </w:t>
            </w:r>
          </w:p>
        </w:tc>
        <w:tc>
          <w:tcPr>
            <w:tcW w:w="1622" w:type="dxa"/>
            <w:tcBorders>
              <w:top w:val="single" w:sz="4" w:space="0" w:color="4F81BD"/>
              <w:bottom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17,9%</w:t>
            </w:r>
          </w:p>
        </w:tc>
        <w:tc>
          <w:tcPr>
            <w:tcW w:w="162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8 895</w:t>
            </w:r>
          </w:p>
        </w:tc>
        <w:tc>
          <w:tcPr>
            <w:tcW w:w="1755"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8 895</w:t>
            </w:r>
          </w:p>
        </w:tc>
        <w:tc>
          <w:tcPr>
            <w:tcW w:w="162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46,4%</w:t>
            </w:r>
          </w:p>
        </w:tc>
        <w:tc>
          <w:tcPr>
            <w:tcW w:w="1622"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79</w:t>
            </w:r>
          </w:p>
        </w:tc>
      </w:tr>
      <w:tr w:rsidR="008973CC" w:rsidRPr="008973CC" w:rsidTr="00355141">
        <w:trPr>
          <w:trHeight w:val="138"/>
        </w:trPr>
        <w:tc>
          <w:tcPr>
            <w:tcW w:w="1518"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color w:val="000000"/>
                <w:sz w:val="24"/>
                <w:szCs w:val="24"/>
              </w:rPr>
            </w:pPr>
            <w:r w:rsidRPr="008973CC">
              <w:rPr>
                <w:rFonts w:ascii="Times New Roman" w:hAnsi="Times New Roman"/>
                <w:bCs/>
                <w:color w:val="000000"/>
                <w:sz w:val="24"/>
                <w:szCs w:val="24"/>
              </w:rPr>
              <w:t xml:space="preserve">Бразилия </w:t>
            </w:r>
          </w:p>
        </w:tc>
        <w:tc>
          <w:tcPr>
            <w:tcW w:w="1622" w:type="dxa"/>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9,3%</w:t>
            </w:r>
          </w:p>
        </w:tc>
        <w:tc>
          <w:tcPr>
            <w:tcW w:w="1621"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1 056</w:t>
            </w:r>
          </w:p>
        </w:tc>
        <w:tc>
          <w:tcPr>
            <w:tcW w:w="1755"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1 109</w:t>
            </w:r>
          </w:p>
        </w:tc>
        <w:tc>
          <w:tcPr>
            <w:tcW w:w="1622"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46,4%</w:t>
            </w:r>
          </w:p>
        </w:tc>
        <w:tc>
          <w:tcPr>
            <w:tcW w:w="1622"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74</w:t>
            </w:r>
          </w:p>
        </w:tc>
      </w:tr>
      <w:tr w:rsidR="008973CC" w:rsidRPr="008973CC" w:rsidTr="00355141">
        <w:trPr>
          <w:trHeight w:val="138"/>
        </w:trPr>
        <w:tc>
          <w:tcPr>
            <w:tcW w:w="151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color w:val="000000"/>
                <w:sz w:val="24"/>
                <w:szCs w:val="24"/>
              </w:rPr>
            </w:pPr>
            <w:r w:rsidRPr="008973CC">
              <w:rPr>
                <w:rFonts w:ascii="Times New Roman" w:hAnsi="Times New Roman"/>
                <w:bCs/>
                <w:color w:val="000000"/>
                <w:sz w:val="24"/>
                <w:szCs w:val="24"/>
              </w:rPr>
              <w:t>Россия</w:t>
            </w:r>
          </w:p>
        </w:tc>
        <w:tc>
          <w:tcPr>
            <w:tcW w:w="1622" w:type="dxa"/>
            <w:tcBorders>
              <w:top w:val="single" w:sz="4" w:space="0" w:color="4F81BD"/>
              <w:bottom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6,3%</w:t>
            </w:r>
          </w:p>
        </w:tc>
        <w:tc>
          <w:tcPr>
            <w:tcW w:w="162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887</w:t>
            </w:r>
          </w:p>
        </w:tc>
        <w:tc>
          <w:tcPr>
            <w:tcW w:w="1755"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1 474</w:t>
            </w:r>
          </w:p>
        </w:tc>
        <w:tc>
          <w:tcPr>
            <w:tcW w:w="162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61,0%</w:t>
            </w:r>
          </w:p>
        </w:tc>
        <w:tc>
          <w:tcPr>
            <w:tcW w:w="1622"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70</w:t>
            </w:r>
          </w:p>
        </w:tc>
      </w:tr>
      <w:tr w:rsidR="008973CC" w:rsidRPr="008973CC" w:rsidTr="00355141">
        <w:trPr>
          <w:trHeight w:val="138"/>
        </w:trPr>
        <w:tc>
          <w:tcPr>
            <w:tcW w:w="1518"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color w:val="000000"/>
                <w:sz w:val="24"/>
                <w:szCs w:val="24"/>
              </w:rPr>
            </w:pPr>
            <w:r w:rsidRPr="008973CC">
              <w:rPr>
                <w:rFonts w:ascii="Times New Roman" w:hAnsi="Times New Roman"/>
                <w:bCs/>
                <w:color w:val="000000"/>
                <w:sz w:val="24"/>
                <w:szCs w:val="24"/>
              </w:rPr>
              <w:lastRenderedPageBreak/>
              <w:t>Индия</w:t>
            </w:r>
          </w:p>
        </w:tc>
        <w:tc>
          <w:tcPr>
            <w:tcW w:w="1622" w:type="dxa"/>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4,0%</w:t>
            </w:r>
          </w:p>
        </w:tc>
        <w:tc>
          <w:tcPr>
            <w:tcW w:w="1621"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61</w:t>
            </w:r>
          </w:p>
        </w:tc>
        <w:tc>
          <w:tcPr>
            <w:tcW w:w="1755"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157</w:t>
            </w:r>
          </w:p>
        </w:tc>
        <w:tc>
          <w:tcPr>
            <w:tcW w:w="1622" w:type="dxa"/>
            <w:tcBorders>
              <w:left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33,1%</w:t>
            </w:r>
          </w:p>
        </w:tc>
        <w:tc>
          <w:tcPr>
            <w:tcW w:w="1622" w:type="dxa"/>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66</w:t>
            </w:r>
          </w:p>
        </w:tc>
      </w:tr>
      <w:tr w:rsidR="008973CC" w:rsidRPr="008973CC" w:rsidTr="00355141">
        <w:trPr>
          <w:trHeight w:val="138"/>
        </w:trPr>
        <w:tc>
          <w:tcPr>
            <w:tcW w:w="151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rPr>
                <w:rFonts w:ascii="Times New Roman" w:hAnsi="Times New Roman"/>
                <w:color w:val="000000"/>
                <w:sz w:val="24"/>
                <w:szCs w:val="24"/>
              </w:rPr>
            </w:pPr>
            <w:r w:rsidRPr="008973CC">
              <w:rPr>
                <w:rFonts w:ascii="Times New Roman" w:hAnsi="Times New Roman"/>
                <w:bCs/>
                <w:color w:val="000000"/>
                <w:sz w:val="24"/>
                <w:szCs w:val="24"/>
              </w:rPr>
              <w:t>Китай</w:t>
            </w:r>
          </w:p>
        </w:tc>
        <w:tc>
          <w:tcPr>
            <w:tcW w:w="1622" w:type="dxa"/>
            <w:tcBorders>
              <w:top w:val="single" w:sz="4" w:space="0" w:color="4F81BD"/>
              <w:bottom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5,4%</w:t>
            </w:r>
          </w:p>
        </w:tc>
        <w:tc>
          <w:tcPr>
            <w:tcW w:w="162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322</w:t>
            </w:r>
          </w:p>
        </w:tc>
        <w:tc>
          <w:tcPr>
            <w:tcW w:w="1755"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480</w:t>
            </w:r>
          </w:p>
        </w:tc>
        <w:tc>
          <w:tcPr>
            <w:tcW w:w="162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56,0%</w:t>
            </w:r>
          </w:p>
        </w:tc>
        <w:tc>
          <w:tcPr>
            <w:tcW w:w="1622" w:type="dxa"/>
            <w:tcBorders>
              <w:top w:val="single" w:sz="4" w:space="0" w:color="4F81BD"/>
              <w:bottom w:val="single" w:sz="4" w:space="0" w:color="4F81BD"/>
            </w:tcBorders>
            <w:shd w:val="clear" w:color="auto" w:fill="auto"/>
          </w:tcPr>
          <w:p w:rsidR="008973CC" w:rsidRPr="008973CC" w:rsidRDefault="008973CC" w:rsidP="00355141">
            <w:pPr>
              <w:autoSpaceDE w:val="0"/>
              <w:autoSpaceDN w:val="0"/>
              <w:adjustRightInd w:val="0"/>
              <w:spacing w:after="0" w:line="240" w:lineRule="auto"/>
              <w:jc w:val="center"/>
              <w:rPr>
                <w:rFonts w:ascii="Times New Roman" w:hAnsi="Times New Roman"/>
                <w:color w:val="000000"/>
                <w:sz w:val="24"/>
                <w:szCs w:val="24"/>
              </w:rPr>
            </w:pPr>
            <w:r w:rsidRPr="008973CC">
              <w:rPr>
                <w:rFonts w:ascii="Times New Roman" w:hAnsi="Times New Roman"/>
                <w:color w:val="000000"/>
                <w:sz w:val="24"/>
                <w:szCs w:val="24"/>
              </w:rPr>
              <w:t>75</w:t>
            </w:r>
          </w:p>
        </w:tc>
      </w:tr>
      <w:tr w:rsidR="008973CC" w:rsidRPr="008973CC" w:rsidTr="00355141">
        <w:trPr>
          <w:trHeight w:val="138"/>
        </w:trPr>
        <w:tc>
          <w:tcPr>
            <w:tcW w:w="1518" w:type="dxa"/>
            <w:tcBorders>
              <w:top w:val="double" w:sz="4" w:space="0" w:color="4F81BD"/>
              <w:left w:val="single" w:sz="4" w:space="0" w:color="4F81BD"/>
              <w:right w:val="single" w:sz="4" w:space="0" w:color="4F81BD"/>
            </w:tcBorders>
            <w:shd w:val="clear" w:color="auto" w:fill="FFFFFF"/>
            <w:vAlign w:val="center"/>
          </w:tcPr>
          <w:p w:rsidR="008973CC" w:rsidRPr="008973CC" w:rsidRDefault="008973CC" w:rsidP="00355141">
            <w:pPr>
              <w:autoSpaceDE w:val="0"/>
              <w:autoSpaceDN w:val="0"/>
              <w:adjustRightInd w:val="0"/>
              <w:spacing w:after="0" w:line="240" w:lineRule="auto"/>
              <w:rPr>
                <w:rFonts w:ascii="Times New Roman" w:hAnsi="Times New Roman"/>
                <w:b/>
                <w:bCs/>
                <w:color w:val="000000"/>
                <w:sz w:val="24"/>
                <w:szCs w:val="24"/>
              </w:rPr>
            </w:pPr>
            <w:r w:rsidRPr="008973CC">
              <w:rPr>
                <w:rFonts w:ascii="Times New Roman" w:hAnsi="Times New Roman"/>
                <w:b/>
                <w:bCs/>
                <w:color w:val="000000"/>
                <w:sz w:val="24"/>
                <w:szCs w:val="24"/>
              </w:rPr>
              <w:t>Мир</w:t>
            </w:r>
          </w:p>
        </w:tc>
        <w:tc>
          <w:tcPr>
            <w:tcW w:w="1622" w:type="dxa"/>
            <w:tcBorders>
              <w:top w:val="double" w:sz="4" w:space="0" w:color="4F81BD"/>
            </w:tcBorders>
            <w:shd w:val="clear" w:color="auto" w:fill="FFFFFF"/>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000000"/>
                <w:sz w:val="24"/>
                <w:szCs w:val="24"/>
              </w:rPr>
            </w:pPr>
            <w:r w:rsidRPr="008973CC">
              <w:rPr>
                <w:rFonts w:ascii="Times New Roman" w:hAnsi="Times New Roman"/>
                <w:b/>
                <w:bCs/>
                <w:color w:val="000000"/>
                <w:sz w:val="24"/>
                <w:szCs w:val="24"/>
              </w:rPr>
              <w:t>10.2%</w:t>
            </w:r>
          </w:p>
        </w:tc>
        <w:tc>
          <w:tcPr>
            <w:tcW w:w="1621" w:type="dxa"/>
            <w:tcBorders>
              <w:top w:val="double" w:sz="4" w:space="0" w:color="4F81BD"/>
              <w:left w:val="single" w:sz="4" w:space="0" w:color="4F81BD"/>
              <w:right w:val="single" w:sz="4" w:space="0" w:color="4F81BD"/>
            </w:tcBorders>
            <w:shd w:val="clear" w:color="auto" w:fill="FFFFFF"/>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000000"/>
                <w:sz w:val="24"/>
                <w:szCs w:val="24"/>
              </w:rPr>
            </w:pPr>
            <w:r w:rsidRPr="008973CC">
              <w:rPr>
                <w:rFonts w:ascii="Times New Roman" w:hAnsi="Times New Roman"/>
                <w:b/>
                <w:bCs/>
                <w:color w:val="000000"/>
                <w:sz w:val="24"/>
                <w:szCs w:val="24"/>
              </w:rPr>
              <w:t>1 030</w:t>
            </w:r>
          </w:p>
        </w:tc>
        <w:tc>
          <w:tcPr>
            <w:tcW w:w="1755" w:type="dxa"/>
            <w:tcBorders>
              <w:top w:val="double" w:sz="4" w:space="0" w:color="4F81BD"/>
            </w:tcBorders>
            <w:shd w:val="clear" w:color="auto" w:fill="FFFFFF"/>
          </w:tcPr>
          <w:p w:rsidR="008973CC" w:rsidRPr="008973CC" w:rsidRDefault="008973CC" w:rsidP="00355141">
            <w:pPr>
              <w:autoSpaceDE w:val="0"/>
              <w:autoSpaceDN w:val="0"/>
              <w:adjustRightInd w:val="0"/>
              <w:spacing w:after="0" w:line="240" w:lineRule="auto"/>
              <w:jc w:val="center"/>
              <w:rPr>
                <w:rFonts w:ascii="Times New Roman" w:hAnsi="Times New Roman"/>
                <w:b/>
                <w:bCs/>
                <w:color w:val="000000"/>
                <w:sz w:val="24"/>
                <w:szCs w:val="24"/>
              </w:rPr>
            </w:pPr>
            <w:r w:rsidRPr="008973CC">
              <w:rPr>
                <w:rFonts w:ascii="Times New Roman" w:hAnsi="Times New Roman"/>
                <w:b/>
                <w:bCs/>
                <w:color w:val="000000"/>
                <w:sz w:val="24"/>
                <w:szCs w:val="24"/>
              </w:rPr>
              <w:t>1 121</w:t>
            </w:r>
          </w:p>
        </w:tc>
        <w:tc>
          <w:tcPr>
            <w:tcW w:w="1622" w:type="dxa"/>
            <w:tcBorders>
              <w:top w:val="double" w:sz="4" w:space="0" w:color="4F81BD"/>
              <w:left w:val="single" w:sz="4" w:space="0" w:color="4F81BD"/>
              <w:right w:val="single" w:sz="4" w:space="0" w:color="4F81BD"/>
            </w:tcBorders>
            <w:shd w:val="clear" w:color="auto" w:fill="FFFFFF"/>
            <w:vAlign w:val="center"/>
          </w:tcPr>
          <w:p w:rsidR="008973CC" w:rsidRPr="008973CC" w:rsidRDefault="008973CC" w:rsidP="00355141">
            <w:pPr>
              <w:autoSpaceDE w:val="0"/>
              <w:autoSpaceDN w:val="0"/>
              <w:adjustRightInd w:val="0"/>
              <w:spacing w:after="0" w:line="240" w:lineRule="auto"/>
              <w:jc w:val="center"/>
              <w:rPr>
                <w:rFonts w:ascii="Times New Roman" w:hAnsi="Times New Roman"/>
                <w:b/>
                <w:bCs/>
                <w:color w:val="000000"/>
                <w:sz w:val="24"/>
                <w:szCs w:val="24"/>
              </w:rPr>
            </w:pPr>
            <w:r w:rsidRPr="008973CC">
              <w:rPr>
                <w:rFonts w:ascii="Times New Roman" w:hAnsi="Times New Roman"/>
                <w:b/>
                <w:bCs/>
                <w:color w:val="000000"/>
                <w:sz w:val="24"/>
                <w:szCs w:val="24"/>
              </w:rPr>
              <w:t>59,8%</w:t>
            </w:r>
          </w:p>
        </w:tc>
        <w:tc>
          <w:tcPr>
            <w:tcW w:w="1622" w:type="dxa"/>
            <w:tcBorders>
              <w:top w:val="double" w:sz="4" w:space="0" w:color="4F81BD"/>
            </w:tcBorders>
            <w:shd w:val="clear" w:color="auto" w:fill="FFFFFF"/>
          </w:tcPr>
          <w:p w:rsidR="008973CC" w:rsidRPr="008973CC" w:rsidRDefault="008973CC" w:rsidP="00355141">
            <w:pPr>
              <w:autoSpaceDE w:val="0"/>
              <w:autoSpaceDN w:val="0"/>
              <w:adjustRightInd w:val="0"/>
              <w:spacing w:after="0" w:line="240" w:lineRule="auto"/>
              <w:jc w:val="center"/>
              <w:rPr>
                <w:rFonts w:ascii="Times New Roman" w:hAnsi="Times New Roman"/>
                <w:b/>
                <w:bCs/>
                <w:color w:val="000000"/>
                <w:sz w:val="24"/>
                <w:szCs w:val="24"/>
              </w:rPr>
            </w:pPr>
            <w:r w:rsidRPr="008973CC">
              <w:rPr>
                <w:rFonts w:ascii="Times New Roman" w:hAnsi="Times New Roman"/>
                <w:b/>
                <w:bCs/>
                <w:color w:val="000000"/>
                <w:sz w:val="24"/>
                <w:szCs w:val="24"/>
              </w:rPr>
              <w:t>71</w:t>
            </w:r>
          </w:p>
        </w:tc>
      </w:tr>
    </w:tbl>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На протяжении последних десятилетий мировой рынок здравоохранения устойчиво растет, все развитые страны мира ежегодно увеличивают затраты на медицину, в том числе в расчете на одного жителя. Например, за истекшие двадцать лет медицинские расходы в Южной Корее выросли более чем в 5 раз; в Польше, Ирландии, Норвегии, более чем в 4 раза; в Нидерландах, Великобритании и Испании, более чем в 3 раза, а в США и Германии более чем в 2,5 раза</w:t>
      </w:r>
      <w:r w:rsidRPr="008973CC">
        <w:rPr>
          <w:rFonts w:ascii="Times New Roman" w:hAnsi="Times New Roman"/>
          <w:sz w:val="24"/>
          <w:szCs w:val="24"/>
          <w:vertAlign w:val="superscript"/>
        </w:rPr>
        <w:footnoteReference w:id="5"/>
      </w:r>
      <w:r w:rsidRPr="008973CC">
        <w:rPr>
          <w:rFonts w:ascii="Times New Roman" w:hAnsi="Times New Roman"/>
          <w:sz w:val="24"/>
          <w:szCs w:val="24"/>
        </w:rPr>
        <w:t>.</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Одним из ключевых факторов обозначенного тренда является старение населения. Анализ ретроспективных данных показывает, что около четверти ежегодного прироста совокупных расходов на здравоохранение обеспечено именно возрастным фактором. Увеличение доли пожилого населения напрямую влияет на расходы на медицину, обеспечивая постоянный спрос на дорогостоящее лечение хронических заболеваний. Процесс демографического старения в мире приобрел беспрецедентные масштабы. Например, в США, по данным отчета ООН, в 2007 году на долю граждан в возрасте старше 60 лет приходилось около 17% населения страны. К 2050 году этой же организацией прогнозируется порядка 26% людей такого возраста. В целом по всему миру показатель приблизится к 22%, в то время как в 2007 году он составлял 11%.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Аналогичный тренд прослеживается и в онкологических заболеваниях. Статистика по странам с высокой продолжительностью жизни показывает, что, хотя конкретное соотношение разнится по странам, заболевших в возрасте старше 65 лет более половины:</w:t>
      </w:r>
    </w:p>
    <w:p w:rsidR="008973CC" w:rsidRPr="008973CC" w:rsidRDefault="008973CC" w:rsidP="008973CC">
      <w:pPr>
        <w:spacing w:after="0" w:line="240" w:lineRule="auto"/>
        <w:jc w:val="both"/>
        <w:rPr>
          <w:rFonts w:ascii="Times New Roman" w:hAnsi="Times New Roman"/>
          <w:sz w:val="24"/>
          <w:szCs w:val="24"/>
        </w:rPr>
      </w:pPr>
      <w:r w:rsidRPr="008973CC">
        <w:rPr>
          <w:rFonts w:ascii="Times New Roman" w:hAnsi="Times New Roman"/>
          <w:noProof/>
          <w:sz w:val="24"/>
          <w:szCs w:val="24"/>
        </w:rPr>
        <w:drawing>
          <wp:anchor distT="0" distB="0" distL="114300" distR="114300" simplePos="0" relativeHeight="251661312" behindDoc="0" locked="0" layoutInCell="1" allowOverlap="1" wp14:anchorId="67BD9C6E" wp14:editId="70271C9F">
            <wp:simplePos x="0" y="0"/>
            <wp:positionH relativeFrom="column">
              <wp:posOffset>4154170</wp:posOffset>
            </wp:positionH>
            <wp:positionV relativeFrom="paragraph">
              <wp:posOffset>-12700</wp:posOffset>
            </wp:positionV>
            <wp:extent cx="1957070" cy="2529840"/>
            <wp:effectExtent l="0" t="2540" r="0" b="1270"/>
            <wp:wrapSquare wrapText="bothSides"/>
            <wp:docPr id="24" name="Диаграмма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Pr="008973CC">
        <w:rPr>
          <w:rFonts w:ascii="Times New Roman" w:hAnsi="Times New Roman"/>
          <w:noProof/>
          <w:sz w:val="24"/>
          <w:szCs w:val="24"/>
        </w:rPr>
        <w:drawing>
          <wp:anchor distT="0" distB="0" distL="114300" distR="114300" simplePos="0" relativeHeight="251660288" behindDoc="0" locked="0" layoutInCell="1" allowOverlap="1" wp14:anchorId="2781F8D9" wp14:editId="403464B0">
            <wp:simplePos x="0" y="0"/>
            <wp:positionH relativeFrom="column">
              <wp:posOffset>2220595</wp:posOffset>
            </wp:positionH>
            <wp:positionV relativeFrom="paragraph">
              <wp:posOffset>-8890</wp:posOffset>
            </wp:positionV>
            <wp:extent cx="1957070" cy="2529840"/>
            <wp:effectExtent l="0" t="6350" r="0" b="0"/>
            <wp:wrapTopAndBottom/>
            <wp:docPr id="23" name="Диаграмма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Pr="008973CC">
        <w:rPr>
          <w:rFonts w:ascii="Times New Roman" w:hAnsi="Times New Roman"/>
          <w:noProof/>
          <w:sz w:val="24"/>
          <w:szCs w:val="24"/>
        </w:rPr>
        <w:drawing>
          <wp:anchor distT="0" distB="0" distL="114300" distR="114300" simplePos="0" relativeHeight="251659264" behindDoc="0" locked="0" layoutInCell="1" allowOverlap="1" wp14:anchorId="35079532" wp14:editId="7EF37028">
            <wp:simplePos x="0" y="0"/>
            <wp:positionH relativeFrom="column">
              <wp:posOffset>239395</wp:posOffset>
            </wp:positionH>
            <wp:positionV relativeFrom="paragraph">
              <wp:posOffset>-8890</wp:posOffset>
            </wp:positionV>
            <wp:extent cx="2005330" cy="2529840"/>
            <wp:effectExtent l="6350" t="6350" r="0" b="0"/>
            <wp:wrapSquare wrapText="bothSides"/>
            <wp:docPr id="25" name="Диаграмма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4</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Заболеваемость по возрасту в странах с высокой продолжительностью жизни</w:t>
      </w:r>
      <w:r w:rsidRPr="008973CC">
        <w:rPr>
          <w:rFonts w:ascii="Times New Roman" w:hAnsi="Times New Roman"/>
          <w:b/>
          <w:color w:val="002060"/>
          <w:sz w:val="24"/>
          <w:szCs w:val="24"/>
          <w:vertAlign w:val="superscript"/>
        </w:rPr>
        <w:footnoteReference w:id="6"/>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lastRenderedPageBreak/>
        <w:drawing>
          <wp:anchor distT="0" distB="0" distL="114300" distR="114300" simplePos="0" relativeHeight="251662336" behindDoc="0" locked="0" layoutInCell="1" allowOverlap="1" wp14:anchorId="5C22BC4B" wp14:editId="3B9E7C90">
            <wp:simplePos x="0" y="0"/>
            <wp:positionH relativeFrom="column">
              <wp:posOffset>248920</wp:posOffset>
            </wp:positionH>
            <wp:positionV relativeFrom="paragraph">
              <wp:posOffset>585470</wp:posOffset>
            </wp:positionV>
            <wp:extent cx="2005330" cy="2529840"/>
            <wp:effectExtent l="6350" t="2540" r="0" b="1270"/>
            <wp:wrapTopAndBottom/>
            <wp:docPr id="26" name="Диаграмма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Pr="008973CC">
        <w:rPr>
          <w:rFonts w:ascii="Times New Roman" w:hAnsi="Times New Roman"/>
          <w:noProof/>
          <w:sz w:val="24"/>
          <w:szCs w:val="24"/>
        </w:rPr>
        <w:drawing>
          <wp:anchor distT="0" distB="0" distL="114300" distR="114300" simplePos="0" relativeHeight="251663360" behindDoc="0" locked="0" layoutInCell="1" allowOverlap="1" wp14:anchorId="4A1D68B1" wp14:editId="654639F9">
            <wp:simplePos x="0" y="0"/>
            <wp:positionH relativeFrom="column">
              <wp:posOffset>2230120</wp:posOffset>
            </wp:positionH>
            <wp:positionV relativeFrom="paragraph">
              <wp:posOffset>585470</wp:posOffset>
            </wp:positionV>
            <wp:extent cx="1957070" cy="2529840"/>
            <wp:effectExtent l="0" t="2540" r="0" b="1270"/>
            <wp:wrapTopAndBottom/>
            <wp:docPr id="27" name="Диаграмма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8973CC">
        <w:rPr>
          <w:rFonts w:ascii="Times New Roman" w:hAnsi="Times New Roman"/>
          <w:noProof/>
          <w:sz w:val="24"/>
          <w:szCs w:val="24"/>
        </w:rPr>
        <w:drawing>
          <wp:anchor distT="0" distB="0" distL="114300" distR="114300" simplePos="0" relativeHeight="251664384" behindDoc="0" locked="0" layoutInCell="1" allowOverlap="1" wp14:anchorId="522ADFF8" wp14:editId="51DF171E">
            <wp:simplePos x="0" y="0"/>
            <wp:positionH relativeFrom="column">
              <wp:posOffset>4163695</wp:posOffset>
            </wp:positionH>
            <wp:positionV relativeFrom="paragraph">
              <wp:posOffset>585470</wp:posOffset>
            </wp:positionV>
            <wp:extent cx="1957070" cy="2529840"/>
            <wp:effectExtent l="0" t="2540" r="0" b="1270"/>
            <wp:wrapTopAndBottom/>
            <wp:docPr id="28" name="Диаграмма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Pr="008973CC">
        <w:rPr>
          <w:rFonts w:ascii="Times New Roman" w:hAnsi="Times New Roman"/>
          <w:sz w:val="24"/>
          <w:szCs w:val="24"/>
        </w:rPr>
        <w:t>Аналогичные данные по странам с короткой продолжительностью жизни показывают обратные соотношения:</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5</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Заболеваемость по возрасту в странах с низкой продолжительностью жизни</w:t>
      </w:r>
      <w:r w:rsidRPr="008973CC">
        <w:rPr>
          <w:rFonts w:ascii="Times New Roman" w:hAnsi="Times New Roman"/>
          <w:sz w:val="24"/>
          <w:szCs w:val="24"/>
        </w:rPr>
        <w:t xml:space="preserve"> </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Таким образом, повышение качества жизни вызывает рост продолжительности жизни, однако также влечет и рост заболеваемости, и, как следствие, расходы на медицину.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Общие медицинские расходы на лечение рака в мире оценивается в $240 млрд, что составляет чуть выше 4% от общих расходов на здравоохранение. С учетом тренда старения населения доля этих расходов, вероятно, будет расти.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США общие расходы на лечение рака достигли 125 млрд долл. в 2010 году и составят не менее 158 млрд долл. к 2020 году. Таким образом, 50% затрат на онкологию приходится на США.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Уровень выживаемости в течение 5 лет после проведения лечения коррелирует с затратами на лечение: самый высокий уровень выживаемости в США, он составляет 65,3% в среднем по всем видам онкологических заболеваний, далее идет Южная Корея с показателем 62,6%, и далее Япония и страны ЕС, 54,3% и 51,9% соответственно. В России</w:t>
      </w:r>
      <w:r w:rsidRPr="008973CC">
        <w:rPr>
          <w:rStyle w:val="a8"/>
          <w:rFonts w:ascii="Times New Roman" w:hAnsi="Times New Roman"/>
          <w:sz w:val="24"/>
          <w:szCs w:val="24"/>
        </w:rPr>
        <w:footnoteReference w:id="7"/>
      </w:r>
      <w:r w:rsidRPr="008973CC">
        <w:rPr>
          <w:rFonts w:ascii="Times New Roman" w:hAnsi="Times New Roman"/>
          <w:sz w:val="24"/>
          <w:szCs w:val="24"/>
        </w:rPr>
        <w:t xml:space="preserve"> этот показатель составляет 51,7%, с 2007 года он увеличился на 1%; однако ряд экспертов считает его сильно завышенным, оценивая реальную выживаемость на уровне 40-48%. Еще больше этот показатель падает при рассмотрении 10-летней выживаемости.</w:t>
      </w:r>
    </w:p>
    <w:p w:rsidR="008973CC" w:rsidRDefault="008973CC" w:rsidP="008973CC">
      <w:pPr>
        <w:spacing w:after="0" w:line="240" w:lineRule="auto"/>
        <w:jc w:val="both"/>
        <w:outlineLvl w:val="2"/>
        <w:rPr>
          <w:rFonts w:ascii="Times New Roman" w:hAnsi="Times New Roman"/>
          <w:b/>
          <w:sz w:val="24"/>
          <w:szCs w:val="24"/>
        </w:rPr>
      </w:pPr>
      <w:bookmarkStart w:id="5" w:name="_Toc417909483"/>
      <w:r>
        <w:rPr>
          <w:rFonts w:ascii="Times New Roman" w:hAnsi="Times New Roman"/>
          <w:b/>
          <w:sz w:val="24"/>
          <w:szCs w:val="24"/>
        </w:rPr>
        <w:t xml:space="preserve">        </w:t>
      </w:r>
    </w:p>
    <w:p w:rsidR="008973CC" w:rsidRPr="008973CC" w:rsidRDefault="008973CC" w:rsidP="008973CC">
      <w:pPr>
        <w:spacing w:after="0" w:line="240" w:lineRule="auto"/>
        <w:jc w:val="both"/>
        <w:outlineLvl w:val="2"/>
        <w:rPr>
          <w:rFonts w:ascii="Times New Roman" w:hAnsi="Times New Roman"/>
          <w:b/>
          <w:sz w:val="24"/>
          <w:szCs w:val="24"/>
        </w:rPr>
      </w:pPr>
      <w:r>
        <w:rPr>
          <w:rFonts w:ascii="Times New Roman" w:hAnsi="Times New Roman"/>
          <w:b/>
          <w:sz w:val="24"/>
          <w:szCs w:val="24"/>
        </w:rPr>
        <w:t xml:space="preserve">        </w:t>
      </w:r>
      <w:r w:rsidRPr="008973CC">
        <w:rPr>
          <w:rFonts w:ascii="Times New Roman" w:hAnsi="Times New Roman"/>
          <w:b/>
          <w:sz w:val="24"/>
          <w:szCs w:val="24"/>
        </w:rPr>
        <w:t>Обзор ситуации в России</w:t>
      </w:r>
      <w:bookmarkEnd w:id="5"/>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Согласно данным Росстата</w:t>
      </w:r>
      <w:r w:rsidRPr="008973CC">
        <w:rPr>
          <w:rFonts w:ascii="Times New Roman" w:hAnsi="Times New Roman"/>
          <w:sz w:val="24"/>
          <w:szCs w:val="24"/>
          <w:vertAlign w:val="superscript"/>
        </w:rPr>
        <w:footnoteReference w:id="8"/>
      </w:r>
      <w:r w:rsidRPr="008973CC">
        <w:rPr>
          <w:rFonts w:ascii="Times New Roman" w:hAnsi="Times New Roman"/>
          <w:sz w:val="24"/>
          <w:szCs w:val="24"/>
        </w:rPr>
        <w:t xml:space="preserve">, в России в 2013 году выявлено 535 887 новых случаев злокачественного новообразования (54,2% у женщин, 45,8% у мужчин), что на 15% больше по сравнению с 2003 г.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lastRenderedPageBreak/>
        <w:drawing>
          <wp:inline distT="0" distB="0" distL="0" distR="0" wp14:anchorId="7686B48F" wp14:editId="28C9C9E9">
            <wp:extent cx="5514975" cy="2343150"/>
            <wp:effectExtent l="0" t="0" r="0" b="0"/>
            <wp:docPr id="30" name="Диаграмма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6</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Заболеваемость раком в России, случаев, по данным Росстата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"Грубый" показатель заболеваемости на 100 000 населения России составил 373,4 случаев, прирост за 10-летний период – 17,7%, что в значительной мере определено неблагоприятным направлением демографических процессов в популяции России, обусловившим "постарение" населения. Наиболее высокий уровень "грубого" показателя заболеваемости злокачественными новообразованиями традиционно отмечается в ряде административных территорий страны, среди населения которых велик удельный вес старших возрастных групп. Наблюдается небольшой рост среднего возраста заболевших – в 2013 году 64 года, в 2003 – 63,1 года.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Стандартизированный</w:t>
      </w:r>
      <w:r w:rsidRPr="008973CC">
        <w:rPr>
          <w:rFonts w:ascii="Times New Roman" w:hAnsi="Times New Roman"/>
          <w:sz w:val="24"/>
          <w:szCs w:val="24"/>
          <w:vertAlign w:val="superscript"/>
        </w:rPr>
        <w:footnoteReference w:id="9"/>
      </w:r>
      <w:r w:rsidRPr="008973CC">
        <w:rPr>
          <w:rFonts w:ascii="Times New Roman" w:hAnsi="Times New Roman"/>
          <w:sz w:val="24"/>
          <w:szCs w:val="24"/>
        </w:rPr>
        <w:t xml:space="preserve"> показатель заболеваемости на 100 000 населения (мировой стандарт) составил 229,22 случаев, что чуть выше среднемирового показателя. Как видно из графика, этот показатель, учитывающий возрастную структуру заболеваемости, изменился в меньшей степени (8,5%), что подтверждает значимость фактора возраста в росте «грубого» показателя:</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drawing>
          <wp:inline distT="0" distB="0" distL="0" distR="0" wp14:anchorId="6053C224" wp14:editId="084BB865">
            <wp:extent cx="5514975" cy="2590800"/>
            <wp:effectExtent l="0" t="0" r="0" b="0"/>
            <wp:docPr id="31" name="Диаграмма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7</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«Грубый» и стандартизированный показатели заболеваемости на 100 тыс. населения, случаев</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Средняя продолжительность жизни также подтверждает возрастной фактор в росте заболеваемости: в последнее десятилетие она устойчиво и достаточно быстро растет. Отметим, что рост продолжительности жизни является одним из ключевых целевых показателей государственной программы здравоохранения.</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drawing>
          <wp:inline distT="0" distB="0" distL="0" distR="0" wp14:anchorId="5BEDC1F2" wp14:editId="4B365727">
            <wp:extent cx="5486400" cy="2853055"/>
            <wp:effectExtent l="0" t="0" r="19050" b="23495"/>
            <wp:docPr id="32" name="Диаграмма 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8</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Ожидаемая продолжительность жизни при рождении, в РФ</w:t>
      </w:r>
      <w:r w:rsidRPr="008973CC">
        <w:rPr>
          <w:rFonts w:ascii="Times New Roman" w:hAnsi="Times New Roman"/>
          <w:b/>
          <w:color w:val="002060"/>
          <w:sz w:val="24"/>
          <w:szCs w:val="24"/>
          <w:vertAlign w:val="superscript"/>
        </w:rPr>
        <w:footnoteReference w:id="10"/>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b/>
          <w:color w:val="002060"/>
          <w:sz w:val="24"/>
          <w:szCs w:val="24"/>
        </w:rPr>
      </w:pPr>
      <w:r w:rsidRPr="008973CC">
        <w:rPr>
          <w:rFonts w:ascii="Times New Roman" w:hAnsi="Times New Roman"/>
          <w:sz w:val="24"/>
          <w:szCs w:val="24"/>
        </w:rPr>
        <w:t xml:space="preserve">Тем не менее, по показателю продолжительности жизни Россия значительно отстает от развитых стран (примерно на 10 лет), и несколько отстает от среднего мирового уровня (см.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_Ref413787432 \h  \* MERGEFORMAT </w:instrText>
      </w:r>
      <w:r w:rsidRPr="008973CC">
        <w:rPr>
          <w:rFonts w:ascii="Times New Roman" w:hAnsi="Times New Roman"/>
          <w:sz w:val="24"/>
          <w:szCs w:val="24"/>
        </w:rPr>
      </w:r>
      <w:r w:rsidRPr="008973CC">
        <w:rPr>
          <w:rFonts w:ascii="Times New Roman" w:hAnsi="Times New Roman"/>
          <w:sz w:val="24"/>
          <w:szCs w:val="24"/>
        </w:rPr>
        <w:fldChar w:fldCharType="separate"/>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Табл.</w:t>
      </w:r>
      <w:r w:rsidRPr="008973CC">
        <w:rPr>
          <w:rFonts w:ascii="Times New Roman" w:hAnsi="Times New Roman"/>
          <w:b/>
          <w:noProof/>
          <w:color w:val="002060"/>
          <w:sz w:val="24"/>
          <w:szCs w:val="24"/>
        </w:rPr>
        <w:t xml:space="preserve"> 1</w:t>
      </w:r>
      <w:r w:rsidRPr="008973CC">
        <w:rPr>
          <w:rFonts w:ascii="Times New Roman" w:hAnsi="Times New Roman"/>
          <w:sz w:val="24"/>
          <w:szCs w:val="24"/>
        </w:rPr>
        <w:fldChar w:fldCharType="end"/>
      </w:r>
      <w:r w:rsidRPr="008973CC">
        <w:rPr>
          <w:rFonts w:ascii="Times New Roman" w:hAnsi="Times New Roman"/>
          <w:sz w:val="24"/>
          <w:szCs w:val="24"/>
        </w:rPr>
        <w:t>).</w:t>
      </w:r>
    </w:p>
    <w:p w:rsidR="008973CC" w:rsidRPr="008973CC" w:rsidRDefault="008973CC" w:rsidP="008973CC">
      <w:pPr>
        <w:spacing w:after="0" w:line="240" w:lineRule="auto"/>
        <w:ind w:firstLine="567"/>
        <w:jc w:val="both"/>
        <w:rPr>
          <w:rFonts w:ascii="Times New Roman" w:hAnsi="Times New Roman"/>
          <w:sz w:val="24"/>
          <w:szCs w:val="24"/>
        </w:rPr>
      </w:pPr>
      <w:proofErr w:type="spellStart"/>
      <w:r w:rsidRPr="008973CC">
        <w:rPr>
          <w:rFonts w:ascii="Times New Roman" w:hAnsi="Times New Roman"/>
          <w:sz w:val="24"/>
          <w:szCs w:val="24"/>
        </w:rPr>
        <w:t>Выявляемость</w:t>
      </w:r>
      <w:proofErr w:type="spellEnd"/>
      <w:r w:rsidRPr="008973CC">
        <w:rPr>
          <w:rFonts w:ascii="Times New Roman" w:hAnsi="Times New Roman"/>
          <w:sz w:val="24"/>
          <w:szCs w:val="24"/>
        </w:rPr>
        <w:t xml:space="preserve"> больных с впервые в жизни установленным диагнозом злокачественного новообразования по стадиям опухолевого процесса в 2013 году составила: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I стадия – 25,6%, II – 25,2%, III – 21,5%, IV – 21,1% (в 2003 г. – 23,6%).</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Таким образом, </w:t>
      </w:r>
      <w:proofErr w:type="spellStart"/>
      <w:r w:rsidRPr="008973CC">
        <w:rPr>
          <w:rFonts w:ascii="Times New Roman" w:hAnsi="Times New Roman"/>
          <w:sz w:val="24"/>
          <w:szCs w:val="24"/>
        </w:rPr>
        <w:t>выявляемость</w:t>
      </w:r>
      <w:proofErr w:type="spellEnd"/>
      <w:r w:rsidRPr="008973CC">
        <w:rPr>
          <w:rFonts w:ascii="Times New Roman" w:hAnsi="Times New Roman"/>
          <w:sz w:val="24"/>
          <w:szCs w:val="24"/>
        </w:rPr>
        <w:t xml:space="preserve"> на ранних стадиях составила в 2013 году чуть более 50%, что является пока неудовлетворительным показателем. Введение широкомасштабной диспансеризации населения за последние 2 года позволила повысить этот уровень еще на 4%, при этом из всех выявленных раков на ранних стадиях 70% выявлено именно при диспансеризации, а диспансеризацию прошло не более половины планового количества взрослых людей (т.е. не более 1/3 взрослого населения за 2 года). В некоторых регионах </w:t>
      </w:r>
      <w:proofErr w:type="spellStart"/>
      <w:r w:rsidRPr="008973CC">
        <w:rPr>
          <w:rFonts w:ascii="Times New Roman" w:hAnsi="Times New Roman"/>
          <w:sz w:val="24"/>
          <w:szCs w:val="24"/>
        </w:rPr>
        <w:t>выявляемость</w:t>
      </w:r>
      <w:proofErr w:type="spellEnd"/>
      <w:r w:rsidRPr="008973CC">
        <w:rPr>
          <w:rFonts w:ascii="Times New Roman" w:hAnsi="Times New Roman"/>
          <w:sz w:val="24"/>
          <w:szCs w:val="24"/>
        </w:rPr>
        <w:t xml:space="preserve"> злокачественных образований на ранних стадиях впервые превысила 60%.</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структуре смертности населения России злокачественные новообразования занимают второе место (15,4%; 2012 г. – 14,9%) после болезней системы кровообращения (53,5%; 2012 г. – 54,8%). Число умерших от злокачественных новообразований в 2013 году составило 288 636.</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lastRenderedPageBreak/>
        <w:drawing>
          <wp:inline distT="0" distB="0" distL="0" distR="0" wp14:anchorId="7EBA3EC4" wp14:editId="4A06EFF8">
            <wp:extent cx="5514975" cy="2343150"/>
            <wp:effectExtent l="0" t="0" r="0" b="0"/>
            <wp:docPr id="33" name="Диаграмма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973CC" w:rsidRPr="008973CC" w:rsidRDefault="008973CC" w:rsidP="008973CC">
      <w:pPr>
        <w:spacing w:after="0" w:line="240" w:lineRule="auto"/>
        <w:ind w:firstLine="567"/>
        <w:jc w:val="both"/>
        <w:rPr>
          <w:rFonts w:ascii="Times New Roman" w:hAnsi="Times New Roman"/>
          <w:b/>
          <w:color w:val="002060"/>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9</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Число умерших от злокачественных новообразований, чел.</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Статистически за 10 лет число умерших почти не изменилось, однако соотношение числа умерших к числу заболевших за год устойчиво снижается, хотя и остается высоким:</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drawing>
          <wp:inline distT="0" distB="0" distL="0" distR="0" wp14:anchorId="0730E639" wp14:editId="79FCC61C">
            <wp:extent cx="5514975" cy="3419475"/>
            <wp:effectExtent l="0" t="0" r="0" b="0"/>
            <wp:docPr id="34" name="Диаграмма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10</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Соотношение числа умерших и числа заболевших в году, %.</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Среди умерших в трудоспособном возрасте (15-59 лет) доля умерших от злокачественных новообразований в 2013 году составила 15,8% (82 911 случаев). Потери от злокачественных новообразований в репродуктивном возрасте (20-44 года) у женщин составили 15,7% (7 407 случаев).</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За последнее 10-летие увеличился средний возраст умерших с 65,0 до 66,6 года: у мужчин – с 64,1 до 65,5 года, у женщин – с 66,2 до 67,8 года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"Грубый" показатель смертности населения России от злокачественных новообразований в 2013 г. составил 201,1 на 100 000 населения, за 10-летний период данный показатель достоверно не изменился. Стандартизованный показатель смертности составил 116,8 на 100 000 населения; наблюдается убыль показателя на 9,4%.</w:t>
      </w:r>
    </w:p>
    <w:p w:rsidR="008973CC" w:rsidRPr="008973CC" w:rsidRDefault="008973CC" w:rsidP="008973CC">
      <w:pPr>
        <w:spacing w:after="0" w:line="240" w:lineRule="auto"/>
        <w:jc w:val="both"/>
        <w:outlineLvl w:val="2"/>
        <w:rPr>
          <w:rFonts w:ascii="Times New Roman" w:hAnsi="Times New Roman"/>
          <w:b/>
          <w:sz w:val="24"/>
          <w:szCs w:val="24"/>
        </w:rPr>
      </w:pPr>
      <w:bookmarkStart w:id="6" w:name="_Toc417909484"/>
    </w:p>
    <w:p w:rsidR="008973CC" w:rsidRPr="008973CC" w:rsidRDefault="008973CC" w:rsidP="008973CC">
      <w:pPr>
        <w:spacing w:after="0" w:line="240" w:lineRule="auto"/>
        <w:jc w:val="both"/>
        <w:outlineLvl w:val="2"/>
        <w:rPr>
          <w:rFonts w:ascii="Times New Roman" w:hAnsi="Times New Roman"/>
          <w:b/>
          <w:sz w:val="24"/>
          <w:szCs w:val="24"/>
        </w:rPr>
      </w:pPr>
      <w:r>
        <w:rPr>
          <w:rFonts w:ascii="Times New Roman" w:hAnsi="Times New Roman"/>
          <w:b/>
          <w:sz w:val="24"/>
          <w:szCs w:val="24"/>
        </w:rPr>
        <w:t xml:space="preserve">        </w:t>
      </w:r>
      <w:r w:rsidRPr="008973CC">
        <w:rPr>
          <w:rFonts w:ascii="Times New Roman" w:hAnsi="Times New Roman"/>
          <w:b/>
          <w:sz w:val="24"/>
          <w:szCs w:val="24"/>
        </w:rPr>
        <w:t>Методы лечения в онкологии. Лучевая терапия</w:t>
      </w:r>
      <w:bookmarkEnd w:id="6"/>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Для лечения злокачественных новообразований существуют три основных метода: </w:t>
      </w:r>
    </w:p>
    <w:p w:rsidR="008973CC" w:rsidRPr="008973CC" w:rsidRDefault="008973CC" w:rsidP="008973CC">
      <w:pPr>
        <w:numPr>
          <w:ilvl w:val="0"/>
          <w:numId w:val="2"/>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lastRenderedPageBreak/>
        <w:t>Хирургический</w:t>
      </w:r>
    </w:p>
    <w:p w:rsidR="008973CC" w:rsidRPr="008973CC" w:rsidRDefault="008973CC" w:rsidP="008973CC">
      <w:pPr>
        <w:numPr>
          <w:ilvl w:val="0"/>
          <w:numId w:val="2"/>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Лучевой</w:t>
      </w:r>
    </w:p>
    <w:p w:rsidR="008973CC" w:rsidRPr="008973CC" w:rsidRDefault="008973CC" w:rsidP="008973CC">
      <w:pPr>
        <w:numPr>
          <w:ilvl w:val="0"/>
          <w:numId w:val="2"/>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Лекарственный (включая гормонотерапию, иммунотерапию, биотерапию)</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 Хирургический метод предполагает непосредственное удаление опухоли. Лучевая терапия – воздействие на опухоль потоком того или иного вида излучения (рентгеновские лучи, гамма-излучение, электроны, протоны, нейтроны, ионы). Химиотерапия – введение в организм лекарственных препаратов, оказывающих повреждающее действие преимущественно на опухолевые клетки.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Накопленный современной онкологической практикой опыт позволяет при полноценном диагнозе (локализация, стадия, степень дифференцировки, местная распространенность или генерализация) четко рекомендовать наиболее эффективные способы лечения. Современные стандарты радикального лечения онкологических больных предполагают использование всех существующих методов специального противоопухолевого лечения в различном сочетании, что позволяет получать более позитивные результаты, чем от применения одного из видов лечения. Для каждого вида и локализации опухолей известны свои оптимальные варианты лечения, наиболее часто обеспечивающие выздоровление.</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drawing>
          <wp:inline distT="0" distB="0" distL="0" distR="0" wp14:anchorId="71492338" wp14:editId="1DD90FB6">
            <wp:extent cx="5314950" cy="2924175"/>
            <wp:effectExtent l="0" t="0" r="0" b="0"/>
            <wp:docPr id="36" name="Диаграмма 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bookmarkStart w:id="7" w:name="_Ref413853870"/>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11</w:t>
      </w:r>
      <w:r w:rsidRPr="008973CC">
        <w:rPr>
          <w:rFonts w:ascii="Times New Roman" w:hAnsi="Times New Roman"/>
          <w:b/>
          <w:color w:val="002060"/>
          <w:sz w:val="24"/>
          <w:szCs w:val="24"/>
        </w:rPr>
        <w:fldChar w:fldCharType="end"/>
      </w:r>
      <w:bookmarkEnd w:id="7"/>
      <w:r w:rsidRPr="008973CC">
        <w:rPr>
          <w:rFonts w:ascii="Times New Roman" w:hAnsi="Times New Roman"/>
          <w:b/>
          <w:color w:val="002060"/>
          <w:sz w:val="24"/>
          <w:szCs w:val="24"/>
        </w:rPr>
        <w:t>. Частота применения видов лечения онкологических заболеваний в РФ, 2012 год</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Как видно из статистических данных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_Ref413853870 \h  \* MERGEFORMAT </w:instrText>
      </w:r>
      <w:r w:rsidRPr="008973CC">
        <w:rPr>
          <w:rFonts w:ascii="Times New Roman" w:hAnsi="Times New Roman"/>
          <w:sz w:val="24"/>
          <w:szCs w:val="24"/>
        </w:rPr>
      </w:r>
      <w:r w:rsidRPr="008973CC">
        <w:rPr>
          <w:rFonts w:ascii="Times New Roman" w:hAnsi="Times New Roman"/>
          <w:sz w:val="24"/>
          <w:szCs w:val="24"/>
        </w:rPr>
        <w:fldChar w:fldCharType="separate"/>
      </w:r>
      <w:r w:rsidRPr="008973CC">
        <w:rPr>
          <w:rFonts w:ascii="Times New Roman" w:hAnsi="Times New Roman"/>
          <w:b/>
          <w:color w:val="002060"/>
          <w:sz w:val="24"/>
          <w:szCs w:val="24"/>
        </w:rPr>
        <w:t xml:space="preserve">Рис. </w:t>
      </w:r>
      <w:r w:rsidRPr="008973CC">
        <w:rPr>
          <w:rFonts w:ascii="Times New Roman" w:hAnsi="Times New Roman"/>
          <w:b/>
          <w:noProof/>
          <w:color w:val="002060"/>
          <w:sz w:val="24"/>
          <w:szCs w:val="24"/>
        </w:rPr>
        <w:t>11</w:t>
      </w:r>
      <w:r w:rsidRPr="008973CC">
        <w:rPr>
          <w:rFonts w:ascii="Times New Roman" w:hAnsi="Times New Roman"/>
          <w:sz w:val="24"/>
          <w:szCs w:val="24"/>
        </w:rPr>
        <w:fldChar w:fldCharType="end"/>
      </w:r>
      <w:r w:rsidRPr="008973CC">
        <w:rPr>
          <w:rFonts w:ascii="Times New Roman" w:hAnsi="Times New Roman"/>
          <w:sz w:val="24"/>
          <w:szCs w:val="24"/>
        </w:rPr>
        <w:t xml:space="preserve">), доля лучевой терапии в качестве самостоятельного вида лечения составляет 11,3%, а в сочетании с другими методами – до 30% случаев. По экспертным оценкам, в России лучевое лечение получают только 20-30% больных, при этом по рекомендациям ВОЗ лучевая терапия нужна 70-75% онкологических больных.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Лучевая терапия в настоящее время является ведущим методом консервативного лечения. К преимуществам лучевой терапии следует отнести ее хорошую переносимость, возможность достижения на ранних стадиях некоторых опухолей стойкого излечения с сохранением функций пораженного органа. Наиболее успешно лучевое лечение при ранних стадиях заболевания, высокой радиочувствительности опухоли без метастазов или наличии единичного регионарного метастаза небольшого размера.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Лучевая терапия – метод лечения с использованием ионизирующих излучений. Ионизируя, радиация разрушает молекулы, из которых состоит клетка, при этом особенно чувствительными оказываются молекулы ДНК, разрушение которых и является целью </w:t>
      </w:r>
      <w:r w:rsidRPr="008973CC">
        <w:rPr>
          <w:rFonts w:ascii="Times New Roman" w:hAnsi="Times New Roman"/>
          <w:sz w:val="24"/>
          <w:szCs w:val="24"/>
        </w:rPr>
        <w:lastRenderedPageBreak/>
        <w:t>облучения: при разрушении ДНК останавливаются основные клеточные процессы, в частности, возможность клетки к делению и размножению. Ферменты, вырабатываемые клеткой, пытаются сразу восстановить поврежденную ДНК, однако, когда ущерб слишком велик, это невозможно. Хотя и злокачественная, и здоровая клетка склонны к восстановлению, в злокачественных клетках этот процесс проходит значительно хуже. В результате раковая клетка больше подвержена разрушению и последующей гибели, нежели клетка из здоровой популяции. Это позволяет избирательно уничтожать плохие клетки, растущие среди хороших.</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Окружающие соединительно-тканные элементы обеспечивают резорбцию поврежденных излучением опухолевых клеток и замещение опухолевой ткани рубцовой. Поэтому одним из основных условий успешного осуществления лучевой терапии является минимальное повреждение тканей, окружающих опухоль.</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Любая лучевая терапия предполагает подведение к опухоли такой дозы, которая необходима для полного разрушения всех раковых клеток, при этом эффект от лечения должен быть максимальным, а вред, наносимый здоровым тканям, – минимальным.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Традиционная гамма-электронная терапия основана на применении пучков гамма-лучей, получаемых либо от радиоизотопов (так называемые кобальтовые пушки), либо от тормозного излучения </w:t>
      </w:r>
      <w:proofErr w:type="spellStart"/>
      <w:r w:rsidRPr="008973CC">
        <w:rPr>
          <w:rFonts w:ascii="Times New Roman" w:hAnsi="Times New Roman"/>
          <w:sz w:val="24"/>
          <w:szCs w:val="24"/>
        </w:rPr>
        <w:t>высокоэнергетичных</w:t>
      </w:r>
      <w:proofErr w:type="spellEnd"/>
      <w:r w:rsidRPr="008973CC">
        <w:rPr>
          <w:rFonts w:ascii="Times New Roman" w:hAnsi="Times New Roman"/>
          <w:sz w:val="24"/>
          <w:szCs w:val="24"/>
        </w:rPr>
        <w:t xml:space="preserve"> ускоренных электронов (электронных ускорителей).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 В настоящее время методы дистанционной гамма-электронной терапии можно разделить следующим образом: </w:t>
      </w:r>
    </w:p>
    <w:p w:rsidR="008973CC" w:rsidRPr="008973CC" w:rsidRDefault="008973CC" w:rsidP="008973CC">
      <w:pPr>
        <w:numPr>
          <w:ilvl w:val="0"/>
          <w:numId w:val="3"/>
        </w:numPr>
        <w:spacing w:after="0" w:line="240" w:lineRule="auto"/>
        <w:ind w:left="0"/>
        <w:contextualSpacing/>
        <w:jc w:val="both"/>
        <w:rPr>
          <w:rFonts w:ascii="Times New Roman" w:hAnsi="Times New Roman"/>
          <w:sz w:val="24"/>
          <w:szCs w:val="24"/>
        </w:rPr>
      </w:pPr>
      <w:r w:rsidRPr="008973CC">
        <w:rPr>
          <w:rFonts w:ascii="Times New Roman" w:hAnsi="Times New Roman"/>
          <w:sz w:val="24"/>
          <w:szCs w:val="24"/>
        </w:rPr>
        <w:t>конвенциальное облучение</w:t>
      </w:r>
    </w:p>
    <w:p w:rsidR="008973CC" w:rsidRPr="008973CC" w:rsidRDefault="008973CC" w:rsidP="008973CC">
      <w:pPr>
        <w:numPr>
          <w:ilvl w:val="0"/>
          <w:numId w:val="3"/>
        </w:numPr>
        <w:spacing w:after="0" w:line="240" w:lineRule="auto"/>
        <w:ind w:left="0" w:hanging="357"/>
        <w:jc w:val="both"/>
        <w:rPr>
          <w:rFonts w:ascii="Times New Roman" w:hAnsi="Times New Roman"/>
          <w:sz w:val="24"/>
          <w:szCs w:val="24"/>
        </w:rPr>
      </w:pPr>
      <w:r w:rsidRPr="008973CC">
        <w:rPr>
          <w:rFonts w:ascii="Times New Roman" w:hAnsi="Times New Roman"/>
          <w:sz w:val="24"/>
          <w:szCs w:val="24"/>
        </w:rPr>
        <w:t>конформное, включая интенсивно модулированную радиотерапию (IMRT) и радиотерапию, корректируемую по изображениям (IGRT)</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Конвенциальное лучевое лечение относится к наиболее простому типу: прямоугольное поле облучения, прямоугольные блоки, болюсы, стандартизованные клинья и т.п. При таком подходе облучение окружающих здоровых тканей максимально.</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Конформное радиационное воздействие предполагает формирование поля облучения, максимально приближенного к форме опухоли, для чего используются различные варианты фигурных блоков или многолепестковые коллиматоры с компьютерным управлением. Конформная лучевая терапия требует обязательного применения трехмерного планирования облучения. </w:t>
      </w:r>
    </w:p>
    <w:p w:rsidR="008973CC" w:rsidRPr="008973CC" w:rsidRDefault="008973CC" w:rsidP="008973CC">
      <w:pPr>
        <w:spacing w:after="0" w:line="240" w:lineRule="auto"/>
        <w:ind w:firstLine="567"/>
        <w:jc w:val="both"/>
        <w:rPr>
          <w:rFonts w:ascii="Times New Roman" w:hAnsi="Times New Roman"/>
          <w:sz w:val="24"/>
          <w:szCs w:val="24"/>
        </w:rPr>
      </w:pPr>
      <w:proofErr w:type="spellStart"/>
      <w:r w:rsidRPr="008973CC">
        <w:rPr>
          <w:rFonts w:ascii="Times New Roman" w:hAnsi="Times New Roman"/>
          <w:sz w:val="24"/>
          <w:szCs w:val="24"/>
        </w:rPr>
        <w:t>RapidArc</w:t>
      </w:r>
      <w:proofErr w:type="spellEnd"/>
      <w:r w:rsidRPr="008973CC">
        <w:rPr>
          <w:rFonts w:ascii="Times New Roman" w:hAnsi="Times New Roman"/>
          <w:sz w:val="24"/>
          <w:szCs w:val="24"/>
        </w:rPr>
        <w:t xml:space="preserve"> – технология для проведения лучевой терапии под визуальным контролем с модуляцией интенсивности (технологии IMRT и IGRT) с возможностью одновременного изменения формы, интенсивности пучка, а также угловой скорости вращения линейного ускорителя. Основными достоинствами технологии являются точность и вариативность подведения радиации, а также значительное ускорение лечения в сравнении со стандартной реализацией облучения с модуляцией интенсивности. Применение технологии позволяет почти идеально распределить интенсивность облучения: в центр опухолевого очага подводится наибольшая доза, а граничные ткани получают значительно меньшую дозу, чтобы свести к минимуму повреждения здоровых тканей.</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Последние два десятилетия развитие лучевой терапии на базе линейных ускорителей электронов шло как по пути совершенствования самих линейных ускорителей, так и по пути разработки дополнительного пакета оборудования и программного обеспечения, позволяющего повысить суммарную очаговую дозу и максимально сконцентрировать ее в опухоли. Это позволило минимизировать процент местных и системных осложнений, а также более эффективно воздействовать на ткани самой опухоли.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 современным достижениям лучевой терапии </w:t>
      </w:r>
      <w:proofErr w:type="spellStart"/>
      <w:r w:rsidRPr="008973CC">
        <w:rPr>
          <w:rFonts w:ascii="Times New Roman" w:hAnsi="Times New Roman"/>
          <w:sz w:val="24"/>
          <w:szCs w:val="24"/>
        </w:rPr>
        <w:t>редкоионизирующим</w:t>
      </w:r>
      <w:proofErr w:type="spellEnd"/>
      <w:r w:rsidRPr="008973CC">
        <w:rPr>
          <w:rFonts w:ascii="Times New Roman" w:hAnsi="Times New Roman"/>
          <w:sz w:val="24"/>
          <w:szCs w:val="24"/>
        </w:rPr>
        <w:t xml:space="preserve"> излучением можно отнести установки «Гамма-нож» и «</w:t>
      </w:r>
      <w:proofErr w:type="spellStart"/>
      <w:r w:rsidRPr="008973CC">
        <w:rPr>
          <w:rFonts w:ascii="Times New Roman" w:hAnsi="Times New Roman"/>
          <w:sz w:val="24"/>
          <w:szCs w:val="24"/>
        </w:rPr>
        <w:t>Кибер</w:t>
      </w:r>
      <w:proofErr w:type="spellEnd"/>
      <w:r w:rsidRPr="008973CC">
        <w:rPr>
          <w:rFonts w:ascii="Times New Roman" w:hAnsi="Times New Roman"/>
          <w:sz w:val="24"/>
          <w:szCs w:val="24"/>
        </w:rPr>
        <w:t>-нож».</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lastRenderedPageBreak/>
        <w:drawing>
          <wp:anchor distT="0" distB="0" distL="114300" distR="114300" simplePos="0" relativeHeight="251665408" behindDoc="0" locked="0" layoutInCell="1" allowOverlap="1" wp14:anchorId="2B3C700B" wp14:editId="48A30EF1">
            <wp:simplePos x="0" y="0"/>
            <wp:positionH relativeFrom="column">
              <wp:posOffset>3039745</wp:posOffset>
            </wp:positionH>
            <wp:positionV relativeFrom="paragraph">
              <wp:posOffset>52705</wp:posOffset>
            </wp:positionV>
            <wp:extent cx="3035300" cy="2228850"/>
            <wp:effectExtent l="0" t="0" r="0" b="0"/>
            <wp:wrapSquare wrapText="bothSides"/>
            <wp:docPr id="37" name="Рисунок 3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35300" cy="2228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73CC">
        <w:rPr>
          <w:rFonts w:ascii="Times New Roman" w:hAnsi="Times New Roman"/>
          <w:sz w:val="24"/>
          <w:szCs w:val="24"/>
        </w:rPr>
        <w:t>Радиохирургический «Гамма-нож» (</w:t>
      </w:r>
      <w:proofErr w:type="spellStart"/>
      <w:r w:rsidRPr="008973CC">
        <w:rPr>
          <w:rFonts w:ascii="Times New Roman" w:hAnsi="Times New Roman"/>
          <w:sz w:val="24"/>
          <w:szCs w:val="24"/>
        </w:rPr>
        <w:t>Gamma</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Knife</w:t>
      </w:r>
      <w:proofErr w:type="spellEnd"/>
      <w:r w:rsidRPr="008973CC">
        <w:rPr>
          <w:rFonts w:ascii="Times New Roman" w:hAnsi="Times New Roman"/>
          <w:sz w:val="24"/>
          <w:szCs w:val="24"/>
        </w:rPr>
        <w:t xml:space="preserve">) используется для лечения многих видов доброкачественных и злокачественных опухолей головного мозга.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«Гамма-нож» предназначен для </w:t>
      </w:r>
      <w:proofErr w:type="spellStart"/>
      <w:r w:rsidRPr="008973CC">
        <w:rPr>
          <w:rFonts w:ascii="Times New Roman" w:hAnsi="Times New Roman"/>
          <w:sz w:val="24"/>
          <w:szCs w:val="24"/>
        </w:rPr>
        <w:t>неинвазивной</w:t>
      </w:r>
      <w:proofErr w:type="spellEnd"/>
      <w:r w:rsidRPr="008973CC">
        <w:rPr>
          <w:rFonts w:ascii="Times New Roman" w:hAnsi="Times New Roman"/>
          <w:sz w:val="24"/>
          <w:szCs w:val="24"/>
        </w:rPr>
        <w:t xml:space="preserve"> хирургии мозга. «Гамма-нож» использует для облучения одновременно несколько пучков от 200 источников кобальта-60 и представляет собой систему, основанную на раме с источниками излучения. Малые размеры коллиматоров «Гамма-ножа» могут сберегать критические ткани организма от воздействия радиации, но это же и исключает возможность лечения метастаз и опухолевых поражений с размерами больше 3 см.</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noProof/>
          <w:sz w:val="24"/>
          <w:szCs w:val="24"/>
        </w:rPr>
        <w:drawing>
          <wp:anchor distT="0" distB="0" distL="114300" distR="114300" simplePos="0" relativeHeight="251666432" behindDoc="0" locked="0" layoutInCell="1" allowOverlap="1" wp14:anchorId="32810F30" wp14:editId="1C3083E6">
            <wp:simplePos x="0" y="0"/>
            <wp:positionH relativeFrom="column">
              <wp:posOffset>33020</wp:posOffset>
            </wp:positionH>
            <wp:positionV relativeFrom="paragraph">
              <wp:posOffset>533400</wp:posOffset>
            </wp:positionV>
            <wp:extent cx="3281680" cy="2343150"/>
            <wp:effectExtent l="0" t="0" r="0" b="0"/>
            <wp:wrapSquare wrapText="bothSides"/>
            <wp:docPr id="38" name="Рисунок 38" descr="WPMT-vid1359-in40912-out42270-7c690d56-51ba239f-Larg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WPMT-vid1359-in40912-out42270-7c690d56-51ba239f-LargeImage"/>
                    <pic:cNvPicPr>
                      <a:picLocks noChangeAspect="1" noChangeArrowheads="1"/>
                    </pic:cNvPicPr>
                  </pic:nvPicPr>
                  <pic:blipFill>
                    <a:blip r:embed="rId24">
                      <a:lum bright="12000"/>
                      <a:extLst>
                        <a:ext uri="{28A0092B-C50C-407E-A947-70E740481C1C}">
                          <a14:useLocalDpi xmlns:a14="http://schemas.microsoft.com/office/drawing/2010/main" val="0"/>
                        </a:ext>
                      </a:extLst>
                    </a:blip>
                    <a:srcRect/>
                    <a:stretch>
                      <a:fillRect/>
                    </a:stretch>
                  </pic:blipFill>
                  <pic:spPr bwMode="auto">
                    <a:xfrm>
                      <a:off x="0" y="0"/>
                      <a:ext cx="3281680" cy="2343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73CC">
        <w:rPr>
          <w:rFonts w:ascii="Times New Roman" w:hAnsi="Times New Roman"/>
          <w:sz w:val="24"/>
          <w:szCs w:val="24"/>
        </w:rPr>
        <w:t xml:space="preserve"> Одним из примеров современного ускорителя, специально созданного для стереотаксического облучения, является «</w:t>
      </w:r>
      <w:proofErr w:type="spellStart"/>
      <w:r w:rsidRPr="008973CC">
        <w:rPr>
          <w:rFonts w:ascii="Times New Roman" w:hAnsi="Times New Roman"/>
          <w:sz w:val="24"/>
          <w:szCs w:val="24"/>
        </w:rPr>
        <w:t>Кибер</w:t>
      </w:r>
      <w:proofErr w:type="spellEnd"/>
      <w:r w:rsidRPr="008973CC">
        <w:rPr>
          <w:rFonts w:ascii="Times New Roman" w:hAnsi="Times New Roman"/>
          <w:sz w:val="24"/>
          <w:szCs w:val="24"/>
        </w:rPr>
        <w:t xml:space="preserve">-нож». Этот компактный ускоритель электронов расположен на роботизированной консоли, имеющей шесть степеней свободы, что, с учетом современного высокотехнологичного программного обеспечения, позволяет проводить прецизионную лучевую терапию без жесткой фиксации пациента. Положение патологического очага в пространстве автоматически отслеживается по отношению к визуализируемым в режиме реального времени костным структурам или внедренным </w:t>
      </w:r>
      <w:proofErr w:type="spellStart"/>
      <w:r w:rsidRPr="008973CC">
        <w:rPr>
          <w:rFonts w:ascii="Times New Roman" w:hAnsi="Times New Roman"/>
          <w:sz w:val="24"/>
          <w:szCs w:val="24"/>
        </w:rPr>
        <w:t>рентгенконтрастным</w:t>
      </w:r>
      <w:proofErr w:type="spellEnd"/>
      <w:r w:rsidRPr="008973CC">
        <w:rPr>
          <w:rFonts w:ascii="Times New Roman" w:hAnsi="Times New Roman"/>
          <w:sz w:val="24"/>
          <w:szCs w:val="24"/>
        </w:rPr>
        <w:t xml:space="preserve"> меткам. Вторичное рентгеновское излучение «</w:t>
      </w:r>
      <w:proofErr w:type="spellStart"/>
      <w:r w:rsidRPr="008973CC">
        <w:rPr>
          <w:rFonts w:ascii="Times New Roman" w:hAnsi="Times New Roman"/>
          <w:sz w:val="24"/>
          <w:szCs w:val="24"/>
        </w:rPr>
        <w:t>Кибер</w:t>
      </w:r>
      <w:proofErr w:type="spellEnd"/>
      <w:r w:rsidRPr="008973CC">
        <w:rPr>
          <w:rFonts w:ascii="Times New Roman" w:hAnsi="Times New Roman"/>
          <w:sz w:val="24"/>
          <w:szCs w:val="24"/>
        </w:rPr>
        <w:t>-ножа» предназначено не только для хирургии головного мозга, с его помощью можно лечить опухоли и метастазы по всему телу и даже в тех частях тела, которые движутся вместе с дыханием пациента. Это возможно благодаря точным системам слежения за изображением опухолей. «</w:t>
      </w:r>
      <w:proofErr w:type="spellStart"/>
      <w:r w:rsidRPr="008973CC">
        <w:rPr>
          <w:rFonts w:ascii="Times New Roman" w:hAnsi="Times New Roman"/>
          <w:sz w:val="24"/>
          <w:szCs w:val="24"/>
        </w:rPr>
        <w:t>Кибер</w:t>
      </w:r>
      <w:proofErr w:type="spellEnd"/>
      <w:r w:rsidRPr="008973CC">
        <w:rPr>
          <w:rFonts w:ascii="Times New Roman" w:hAnsi="Times New Roman"/>
          <w:sz w:val="24"/>
          <w:szCs w:val="24"/>
        </w:rPr>
        <w:t>-нож» использует один пучок фотонов высокой энергии, установленный на руке робота-манипулятора из одного источника. В России на данный момент функционирует шесть таких установок.</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арсенале лидирующих производителей медицинских линейных ускорителей электронов (</w:t>
      </w:r>
      <w:proofErr w:type="spellStart"/>
      <w:r w:rsidRPr="008973CC">
        <w:rPr>
          <w:rFonts w:ascii="Times New Roman" w:hAnsi="Times New Roman"/>
          <w:sz w:val="24"/>
          <w:szCs w:val="24"/>
        </w:rPr>
        <w:t>Elekta</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Varian</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Siemens</w:t>
      </w:r>
      <w:proofErr w:type="spellEnd"/>
      <w:r w:rsidRPr="008973CC">
        <w:rPr>
          <w:rFonts w:ascii="Times New Roman" w:hAnsi="Times New Roman"/>
          <w:sz w:val="24"/>
          <w:szCs w:val="24"/>
        </w:rPr>
        <w:t xml:space="preserve">) есть решения, которые поддерживают выполнение всех основных методик лучевой терапии. За последние годы появился целый ряд инновационных фирм, которые развивают новые методики, конструкции ускорительных комплексов лучевой терапии и оборудования для них – </w:t>
      </w:r>
      <w:proofErr w:type="spellStart"/>
      <w:r w:rsidRPr="008973CC">
        <w:rPr>
          <w:rFonts w:ascii="Times New Roman" w:hAnsi="Times New Roman"/>
          <w:sz w:val="24"/>
          <w:szCs w:val="24"/>
        </w:rPr>
        <w:t>Nomos</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Corp</w:t>
      </w:r>
      <w:proofErr w:type="spellEnd"/>
      <w:r w:rsidRPr="008973CC">
        <w:rPr>
          <w:rFonts w:ascii="Times New Roman" w:hAnsi="Times New Roman"/>
          <w:sz w:val="24"/>
          <w:szCs w:val="24"/>
        </w:rPr>
        <w:t xml:space="preserve">., компания </w:t>
      </w:r>
      <w:proofErr w:type="spellStart"/>
      <w:r w:rsidRPr="008973CC">
        <w:rPr>
          <w:rFonts w:ascii="Times New Roman" w:hAnsi="Times New Roman"/>
          <w:sz w:val="24"/>
          <w:szCs w:val="24"/>
        </w:rPr>
        <w:t>BrainLab</w:t>
      </w:r>
      <w:proofErr w:type="spellEnd"/>
      <w:r w:rsidRPr="008973CC">
        <w:rPr>
          <w:rFonts w:ascii="Times New Roman" w:hAnsi="Times New Roman"/>
          <w:sz w:val="24"/>
          <w:szCs w:val="24"/>
        </w:rPr>
        <w:t xml:space="preserve"> (сотрудничает с </w:t>
      </w:r>
      <w:proofErr w:type="spellStart"/>
      <w:r w:rsidRPr="008973CC">
        <w:rPr>
          <w:rFonts w:ascii="Times New Roman" w:hAnsi="Times New Roman"/>
          <w:sz w:val="24"/>
          <w:szCs w:val="24"/>
        </w:rPr>
        <w:t>Varian</w:t>
      </w:r>
      <w:proofErr w:type="spellEnd"/>
      <w:r w:rsidRPr="008973CC">
        <w:rPr>
          <w:rFonts w:ascii="Times New Roman" w:hAnsi="Times New Roman"/>
          <w:sz w:val="24"/>
          <w:szCs w:val="24"/>
        </w:rPr>
        <w:t xml:space="preserve"> в производстве системы серии </w:t>
      </w:r>
      <w:proofErr w:type="spellStart"/>
      <w:r w:rsidRPr="008973CC">
        <w:rPr>
          <w:rFonts w:ascii="Times New Roman" w:hAnsi="Times New Roman"/>
          <w:sz w:val="24"/>
          <w:szCs w:val="24"/>
        </w:rPr>
        <w:t>Novalis</w:t>
      </w:r>
      <w:proofErr w:type="spellEnd"/>
      <w:r w:rsidRPr="008973CC">
        <w:rPr>
          <w:rFonts w:ascii="Times New Roman" w:hAnsi="Times New Roman"/>
          <w:sz w:val="24"/>
          <w:szCs w:val="24"/>
        </w:rPr>
        <w:t xml:space="preserve"> для радиационной хирургии и стереотаксической радиотерапии), </w:t>
      </w:r>
      <w:proofErr w:type="spellStart"/>
      <w:r w:rsidRPr="008973CC">
        <w:rPr>
          <w:rFonts w:ascii="Times New Roman" w:hAnsi="Times New Roman"/>
          <w:sz w:val="24"/>
          <w:szCs w:val="24"/>
        </w:rPr>
        <w:t>Radionics</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XKnife</w:t>
      </w:r>
      <w:proofErr w:type="spellEnd"/>
      <w:r w:rsidRPr="008973CC">
        <w:rPr>
          <w:rFonts w:ascii="Times New Roman" w:hAnsi="Times New Roman"/>
          <w:sz w:val="24"/>
          <w:szCs w:val="24"/>
        </w:rPr>
        <w:t xml:space="preserve">™ RT система для радиационной хирургии), фирма </w:t>
      </w:r>
      <w:proofErr w:type="spellStart"/>
      <w:r w:rsidRPr="008973CC">
        <w:rPr>
          <w:rFonts w:ascii="Times New Roman" w:hAnsi="Times New Roman"/>
          <w:sz w:val="24"/>
          <w:szCs w:val="24"/>
        </w:rPr>
        <w:t>Accuray</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CyberKnife</w:t>
      </w:r>
      <w:proofErr w:type="spellEnd"/>
      <w:r w:rsidRPr="008973CC">
        <w:rPr>
          <w:rFonts w:ascii="Times New Roman" w:hAnsi="Times New Roman"/>
          <w:sz w:val="24"/>
          <w:szCs w:val="24"/>
        </w:rPr>
        <w:t xml:space="preserve"> – система для высокоточной радиационной хирургии и </w:t>
      </w:r>
      <w:proofErr w:type="spellStart"/>
      <w:r w:rsidRPr="008973CC">
        <w:rPr>
          <w:rFonts w:ascii="Times New Roman" w:hAnsi="Times New Roman"/>
          <w:sz w:val="24"/>
          <w:szCs w:val="24"/>
        </w:rPr>
        <w:t>Tomotherapy</w:t>
      </w:r>
      <w:proofErr w:type="spellEnd"/>
      <w:r w:rsidRPr="008973CC">
        <w:rPr>
          <w:rFonts w:ascii="Times New Roman" w:hAnsi="Times New Roman"/>
          <w:sz w:val="24"/>
          <w:szCs w:val="24"/>
        </w:rPr>
        <w:t xml:space="preserve"> – специализированная система для IMRT).</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Количество установок лучевой терапии во всем мире по данным 2013 года составляло 12 983. В России на тот момент было 325 кабинетов радиотерапии, из них 110 на основе линейных ускорителей электронов и 215 кобальтовых систем (Со-60) с устаревшей на сегодняшний день технологией. Распределение центров радиотерапии по миру неравномерно, к примеру, в Северной Америке на 1 млн человек приходится 12 </w:t>
      </w:r>
      <w:r w:rsidRPr="008973CC">
        <w:rPr>
          <w:rFonts w:ascii="Times New Roman" w:hAnsi="Times New Roman"/>
          <w:sz w:val="24"/>
          <w:szCs w:val="24"/>
        </w:rPr>
        <w:lastRenderedPageBreak/>
        <w:t>систем радиотерапии, в Азии это показатель 0,9, а в Африке – 0,3. В России на 1 млн человек приходится около 2 установок.</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Согласно исследованию </w:t>
      </w:r>
      <w:proofErr w:type="spellStart"/>
      <w:r w:rsidRPr="008973CC">
        <w:rPr>
          <w:rFonts w:ascii="Times New Roman" w:hAnsi="Times New Roman"/>
          <w:sz w:val="24"/>
          <w:szCs w:val="24"/>
        </w:rPr>
        <w:t>MEDraysintell</w:t>
      </w:r>
      <w:proofErr w:type="spellEnd"/>
      <w:r w:rsidRPr="008973CC">
        <w:rPr>
          <w:rFonts w:ascii="Times New Roman" w:hAnsi="Times New Roman"/>
          <w:sz w:val="24"/>
          <w:szCs w:val="24"/>
        </w:rPr>
        <w:t>, проведенному на основе анализа распределения кабинетов радиотерапии по миру и статистикой заболеваемости в разных странах, на сегодняшний день лучевую терапию получают примерно 2,9 млн человек в год. В развитых странах, лучше всего обеспеченных оборудованием для радиотерапии, такую терапию получают 50-70% больных, эта доля значительно ниже в бедных странах (в России – 25%). Эффективность традиционной лучевой терапии составляет 40-50% по 5-летнему критерию.</w:t>
      </w:r>
    </w:p>
    <w:p w:rsidR="008973CC" w:rsidRDefault="008973CC" w:rsidP="008973CC">
      <w:pPr>
        <w:spacing w:after="0" w:line="240" w:lineRule="auto"/>
        <w:jc w:val="both"/>
        <w:outlineLvl w:val="2"/>
        <w:rPr>
          <w:rFonts w:ascii="Times New Roman" w:hAnsi="Times New Roman"/>
          <w:b/>
          <w:sz w:val="24"/>
          <w:szCs w:val="24"/>
        </w:rPr>
      </w:pPr>
      <w:bookmarkStart w:id="8" w:name="_Toc417909485"/>
      <w:r>
        <w:rPr>
          <w:rFonts w:ascii="Times New Roman" w:hAnsi="Times New Roman"/>
          <w:b/>
          <w:sz w:val="24"/>
          <w:szCs w:val="24"/>
        </w:rPr>
        <w:t xml:space="preserve">        </w:t>
      </w:r>
    </w:p>
    <w:p w:rsidR="008973CC" w:rsidRPr="008973CC" w:rsidRDefault="008973CC" w:rsidP="008973CC">
      <w:pPr>
        <w:spacing w:after="0" w:line="240" w:lineRule="auto"/>
        <w:jc w:val="both"/>
        <w:outlineLvl w:val="2"/>
        <w:rPr>
          <w:rFonts w:ascii="Times New Roman" w:hAnsi="Times New Roman"/>
          <w:b/>
          <w:sz w:val="24"/>
          <w:szCs w:val="24"/>
        </w:rPr>
      </w:pPr>
      <w:r>
        <w:rPr>
          <w:rFonts w:ascii="Times New Roman" w:hAnsi="Times New Roman"/>
          <w:b/>
          <w:sz w:val="24"/>
          <w:szCs w:val="24"/>
        </w:rPr>
        <w:t xml:space="preserve">         </w:t>
      </w:r>
      <w:r w:rsidRPr="008973CC">
        <w:rPr>
          <w:rFonts w:ascii="Times New Roman" w:hAnsi="Times New Roman"/>
          <w:b/>
          <w:sz w:val="24"/>
          <w:szCs w:val="24"/>
        </w:rPr>
        <w:t>Протонная терапия</w:t>
      </w:r>
      <w:bookmarkEnd w:id="8"/>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Как бы ни совершенствовалась аппаратура и методика облучения на современных установках для фотонной и электронной терапии, формирование </w:t>
      </w:r>
      <w:proofErr w:type="spellStart"/>
      <w:r w:rsidRPr="008973CC">
        <w:rPr>
          <w:rFonts w:ascii="Times New Roman" w:hAnsi="Times New Roman"/>
          <w:sz w:val="24"/>
          <w:szCs w:val="24"/>
        </w:rPr>
        <w:t>дозного</w:t>
      </w:r>
      <w:proofErr w:type="spellEnd"/>
      <w:r w:rsidRPr="008973CC">
        <w:rPr>
          <w:rFonts w:ascii="Times New Roman" w:hAnsi="Times New Roman"/>
          <w:sz w:val="24"/>
          <w:szCs w:val="24"/>
        </w:rPr>
        <w:t xml:space="preserve"> поля в опухоли и окружающих тканях всегда будет подчиняться физическим характеристикам каждого вида излучения. Основной проблемой гамма-электронной лучевой терапии является чрезмерное повреждение здоровых тканей вокруг опухоли при повышении дозы в опухоли и снижение эффективности лечения при понижении дозы. Особенно важным это становится, если опухоль расположена рядом с жизненно важными органами или тканями с высокой радиочувствительностью, а также при лечении детей.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Поражающее действие гамма-излучения спадает экспоненциально по мере проникновения в вещество, поэтому здоровые ткани, расположенные на пути пучка, облучаются большей дозой, чем сама мишень. Кроме того, облучению подвергаются также ткани и органы, находящиеся за мишенью. Второй недостаток гамма-лучей - это недостаточно резкий спад дозы по боковым границам пучка в силу специфики взаимодействия этого излучения с веществом.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Эта особенность распределения энергии излучения не дает возможности абсолютно точно облучить участок ткани, где располагается опухоль, радиация воздействует на прилежащие ткани, что неизбежно ведёт к нежелательным последствиям. По этой причине приходится намеренно занижать среднюю очаговую дозу облучения с целью сохранить прилежащие ткани и избежать осложнений, и, как следствие, в облучаемом участке остаются жизнеспособные опухолевые клетки.</w:t>
      </w: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drawing>
          <wp:inline distT="0" distB="0" distL="0" distR="0" wp14:anchorId="0C40D1C5" wp14:editId="2DBC236C">
            <wp:extent cx="4124325" cy="2647950"/>
            <wp:effectExtent l="0" t="0" r="9525" b="0"/>
            <wp:docPr id="39" name="Рисунок 3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1"/>
                    <pic:cNvPicPr>
                      <a:picLocks noChangeAspect="1" noChangeArrowheads="1"/>
                    </pic:cNvPicPr>
                  </pic:nvPicPr>
                  <pic:blipFill>
                    <a:blip r:embed="rId25">
                      <a:clrChange>
                        <a:clrFrom>
                          <a:srgbClr val="FFFFFF"/>
                        </a:clrFrom>
                        <a:clrTo>
                          <a:srgbClr val="FFFFFF">
                            <a:alpha val="0"/>
                          </a:srgbClr>
                        </a:clrTo>
                      </a:clrChange>
                      <a:lum bright="-42000" contrast="18000"/>
                      <a:extLst>
                        <a:ext uri="{28A0092B-C50C-407E-A947-70E740481C1C}">
                          <a14:useLocalDpi xmlns:a14="http://schemas.microsoft.com/office/drawing/2010/main" val="0"/>
                        </a:ext>
                      </a:extLst>
                    </a:blip>
                    <a:srcRect l="2434" t="6174" r="24995" b="29140"/>
                    <a:stretch>
                      <a:fillRect/>
                    </a:stretch>
                  </pic:blipFill>
                  <pic:spPr bwMode="auto">
                    <a:xfrm>
                      <a:off x="0" y="0"/>
                      <a:ext cx="4124325" cy="2647950"/>
                    </a:xfrm>
                    <a:prstGeom prst="rect">
                      <a:avLst/>
                    </a:prstGeom>
                    <a:noFill/>
                    <a:ln>
                      <a:noFill/>
                    </a:ln>
                  </pic:spPr>
                </pic:pic>
              </a:graphicData>
            </a:graphic>
          </wp:inline>
        </w:drawing>
      </w:r>
    </w:p>
    <w:p w:rsidR="008973CC" w:rsidRPr="008973CC" w:rsidRDefault="008973CC" w:rsidP="008973CC">
      <w:pPr>
        <w:spacing w:after="0" w:line="240" w:lineRule="auto"/>
        <w:ind w:firstLine="567"/>
        <w:jc w:val="both"/>
        <w:rPr>
          <w:rFonts w:ascii="Times New Roman" w:hAnsi="Times New Roman"/>
          <w:b/>
          <w:noProof/>
          <w:color w:val="002060"/>
          <w:sz w:val="24"/>
          <w:szCs w:val="24"/>
        </w:rPr>
      </w:pPr>
      <w:bookmarkStart w:id="9" w:name="_Ref413855959"/>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12</w:t>
      </w:r>
      <w:r w:rsidRPr="008973CC">
        <w:rPr>
          <w:rFonts w:ascii="Times New Roman" w:hAnsi="Times New Roman"/>
          <w:b/>
          <w:color w:val="002060"/>
          <w:sz w:val="24"/>
          <w:szCs w:val="24"/>
        </w:rPr>
        <w:fldChar w:fldCharType="end"/>
      </w:r>
      <w:bookmarkEnd w:id="9"/>
      <w:r w:rsidRPr="008973CC">
        <w:rPr>
          <w:rFonts w:ascii="Times New Roman" w:hAnsi="Times New Roman"/>
          <w:b/>
          <w:color w:val="002060"/>
          <w:sz w:val="24"/>
          <w:szCs w:val="24"/>
        </w:rPr>
        <w:t xml:space="preserve">. </w:t>
      </w:r>
      <w:r w:rsidRPr="008973CC">
        <w:rPr>
          <w:rFonts w:ascii="Times New Roman" w:hAnsi="Times New Roman"/>
          <w:b/>
          <w:noProof/>
          <w:color w:val="002060"/>
          <w:sz w:val="24"/>
          <w:szCs w:val="24"/>
        </w:rPr>
        <w:t>Глубинное распределение дозы различных видов излучений</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протонной терапии используются протонные пучки, полученные в протонном ускорителе. Благодаря сравнительно большой массе, протоны испытывают лишь небольшое поперечное рассеяние в ткани, а разброс длины их пробега очень мал; пучок можно сфокусировать на опухоль, не внося неприемлемых повреждений в окружающие </w:t>
      </w:r>
      <w:r w:rsidRPr="008973CC">
        <w:rPr>
          <w:rFonts w:ascii="Times New Roman" w:hAnsi="Times New Roman"/>
          <w:sz w:val="24"/>
          <w:szCs w:val="24"/>
        </w:rPr>
        <w:lastRenderedPageBreak/>
        <w:t>здоровые ткани. Все протоны заданной энергии имеют совершенно определенный пробег; ничтожное их число превышает это расстояние. Более того, наибольшая радиационная доза выделяется в ткани на последних миллиметрах пробега частиц; этот максимум называют пиком Брэгга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_Ref413855959 \h  \* MERGEFORMAT </w:instrText>
      </w:r>
      <w:r w:rsidRPr="008973CC">
        <w:rPr>
          <w:rFonts w:ascii="Times New Roman" w:hAnsi="Times New Roman"/>
          <w:sz w:val="24"/>
          <w:szCs w:val="24"/>
        </w:rPr>
      </w:r>
      <w:r w:rsidRPr="008973CC">
        <w:rPr>
          <w:rFonts w:ascii="Times New Roman" w:hAnsi="Times New Roman"/>
          <w:sz w:val="24"/>
          <w:szCs w:val="24"/>
        </w:rPr>
        <w:fldChar w:fldCharType="separate"/>
      </w:r>
      <w:r w:rsidRPr="008973CC">
        <w:rPr>
          <w:rFonts w:ascii="Times New Roman" w:hAnsi="Times New Roman"/>
          <w:b/>
          <w:color w:val="002060"/>
          <w:sz w:val="24"/>
          <w:szCs w:val="24"/>
        </w:rPr>
        <w:t xml:space="preserve">Рис. </w:t>
      </w:r>
      <w:r w:rsidRPr="008973CC">
        <w:rPr>
          <w:rFonts w:ascii="Times New Roman" w:hAnsi="Times New Roman"/>
          <w:b/>
          <w:noProof/>
          <w:color w:val="002060"/>
          <w:sz w:val="24"/>
          <w:szCs w:val="24"/>
        </w:rPr>
        <w:t>12</w:t>
      </w:r>
      <w:r w:rsidRPr="008973CC">
        <w:rPr>
          <w:rFonts w:ascii="Times New Roman" w:hAnsi="Times New Roman"/>
          <w:sz w:val="24"/>
          <w:szCs w:val="24"/>
        </w:rPr>
        <w:fldChar w:fldCharType="end"/>
      </w:r>
      <w:r w:rsidRPr="008973CC">
        <w:rPr>
          <w:rFonts w:ascii="Times New Roman" w:hAnsi="Times New Roman"/>
          <w:sz w:val="24"/>
          <w:szCs w:val="24"/>
        </w:rPr>
        <w:t xml:space="preserve">). Местоположение пика зависит от энергии, до которой были разогнаны частицы в ускорителе. Следовательно, появляется возможность сфокусировать область разрушения клеток протонным пучком в глубине здоровой ткани, окружающей опухоль; ткани, расположенные до </w:t>
      </w:r>
      <w:proofErr w:type="spellStart"/>
      <w:r w:rsidRPr="008973CC">
        <w:rPr>
          <w:rFonts w:ascii="Times New Roman" w:hAnsi="Times New Roman"/>
          <w:sz w:val="24"/>
          <w:szCs w:val="24"/>
        </w:rPr>
        <w:t>брэгговского</w:t>
      </w:r>
      <w:proofErr w:type="spellEnd"/>
      <w:r w:rsidRPr="008973CC">
        <w:rPr>
          <w:rFonts w:ascii="Times New Roman" w:hAnsi="Times New Roman"/>
          <w:sz w:val="24"/>
          <w:szCs w:val="24"/>
        </w:rPr>
        <w:t xml:space="preserve"> пика, получают значительно меньшую дозу. Более того, эта доза может быть существенно уменьшена за счет прецизионного вращения либо самого пучка вокруг пациента, либо вращения всего тела пациента при пространственно-стабильном пучке протонов. Ткани, расположенные за </w:t>
      </w:r>
      <w:proofErr w:type="spellStart"/>
      <w:r w:rsidRPr="008973CC">
        <w:rPr>
          <w:rFonts w:ascii="Times New Roman" w:hAnsi="Times New Roman"/>
          <w:sz w:val="24"/>
          <w:szCs w:val="24"/>
        </w:rPr>
        <w:t>брэгговским</w:t>
      </w:r>
      <w:proofErr w:type="spellEnd"/>
      <w:r w:rsidRPr="008973CC">
        <w:rPr>
          <w:rFonts w:ascii="Times New Roman" w:hAnsi="Times New Roman"/>
          <w:sz w:val="24"/>
          <w:szCs w:val="24"/>
        </w:rPr>
        <w:t xml:space="preserve"> пиком, практически не получают радиационной дозы.</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Все это позволяет подвести дозу значительно большую, чем при любой традиционной методике, что, в свою очередь, существенно увеличивает эффективность лечения и при этом снижает негативные эффекты практически до нуля.</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История применения протонов в лучевой терапии насчитывает десятки лет. Первое предположение о том, что ускоренные протоны могут быть эффективным средством лечения, было сделано Робертом Вильсоном в 1946 году. В это время он был участником проектирования циклотронной лаборатории в Гарварде (HCL). Первые опыты по облучению пациентов были проделаны на ускорителях, построенных для физических исследований в Радиационной лаборатории в г. Беркли в 1954 и в Университете г. </w:t>
      </w:r>
      <w:proofErr w:type="spellStart"/>
      <w:r w:rsidRPr="008973CC">
        <w:rPr>
          <w:rFonts w:ascii="Times New Roman" w:hAnsi="Times New Roman"/>
          <w:sz w:val="24"/>
          <w:szCs w:val="24"/>
        </w:rPr>
        <w:t>Уппсала</w:t>
      </w:r>
      <w:proofErr w:type="spellEnd"/>
      <w:r w:rsidRPr="008973CC">
        <w:rPr>
          <w:rFonts w:ascii="Times New Roman" w:hAnsi="Times New Roman"/>
          <w:sz w:val="24"/>
          <w:szCs w:val="24"/>
        </w:rPr>
        <w:t xml:space="preserve"> (Швеция) в 1957.</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1961 году началось сотрудничество между HCL и Массачусетским главным госпиталем (</w:t>
      </w:r>
      <w:proofErr w:type="spellStart"/>
      <w:r w:rsidRPr="008973CC">
        <w:rPr>
          <w:rFonts w:ascii="Times New Roman" w:hAnsi="Times New Roman"/>
          <w:sz w:val="24"/>
          <w:szCs w:val="24"/>
        </w:rPr>
        <w:t>Massachusetts</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General</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Hospital</w:t>
      </w:r>
      <w:proofErr w:type="spellEnd"/>
      <w:r w:rsidRPr="008973CC">
        <w:rPr>
          <w:rFonts w:ascii="Times New Roman" w:hAnsi="Times New Roman"/>
          <w:sz w:val="24"/>
          <w:szCs w:val="24"/>
        </w:rPr>
        <w:t xml:space="preserve"> (MGH) по развитию метода протонной терапии. В течение последующих лет программа модернизировалась и улучшалась. Было пролечено 9 116 пациентов вплоть до закрытия циклотрона в 2002 году.</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Вслед за этой пионерской работой в США в 1990 году был построен специализированный клинический центр протонной терапии в городе Лома Линда, штат Калифорния (LLUMC) (переименован в Центр Протонной Терапии имени Джеймса </w:t>
      </w:r>
      <w:proofErr w:type="spellStart"/>
      <w:r w:rsidRPr="008973CC">
        <w:rPr>
          <w:rFonts w:ascii="Times New Roman" w:hAnsi="Times New Roman"/>
          <w:sz w:val="24"/>
          <w:szCs w:val="24"/>
        </w:rPr>
        <w:t>Слейтера</w:t>
      </w:r>
      <w:proofErr w:type="spellEnd"/>
      <w:r w:rsidRPr="008973CC">
        <w:rPr>
          <w:rFonts w:ascii="Times New Roman" w:hAnsi="Times New Roman"/>
          <w:sz w:val="24"/>
          <w:szCs w:val="24"/>
        </w:rPr>
        <w:t xml:space="preserve">). Затем был построен Северо-восточный Центр Протонной Терапии в Массачусетском главном госпитале (переименован в Центр Протонной Терапии имени Френсиса </w:t>
      </w:r>
      <w:proofErr w:type="spellStart"/>
      <w:r w:rsidRPr="008973CC">
        <w:rPr>
          <w:rFonts w:ascii="Times New Roman" w:hAnsi="Times New Roman"/>
          <w:sz w:val="24"/>
          <w:szCs w:val="24"/>
        </w:rPr>
        <w:t>Барра</w:t>
      </w:r>
      <w:proofErr w:type="spellEnd"/>
      <w:r w:rsidRPr="008973CC">
        <w:rPr>
          <w:rFonts w:ascii="Times New Roman" w:hAnsi="Times New Roman"/>
          <w:sz w:val="24"/>
          <w:szCs w:val="24"/>
        </w:rPr>
        <w:t>). В течение 2001 и 2002 годов сюда были перемещены все терапевтические программы HCL.</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Лечение протонами до 1990 года проводилось и в ряде других экспериментальных центрах, в частности, в трех российских физических центрах. Однако именно открытие центра в Лома Линда в 1990 году считается началом медицинского применения протонов, поскольку это первый протонный центр, созданный специально для медицинских целей. Отметим, что данный проект был полностью коммерческим и смог доказать свою экономическую состоятельность. Расходы на создание Центра были покрыты уже в первые 8-10 лет его работы, а используемые в Центре методики лечения были признаны ведущими американскими страховыми компаниями. С начала 2000-х годов, когда появились относительно небольшие и менее дорогие установки, началось активное строительство центров протонной терапии. К настоящему моменту этот процесс приобрел еще больший размах.</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Сегодня в клинических центрах протонной лучевой терапии технически и методически обеспечено облучение злокачественных новообразований любых размеров и локализаций. Протонная терапия способна полностью заменить гамма-электронную терапию, а также часть сложных хирургических операций, имея перед ними преимущество за счет </w:t>
      </w:r>
      <w:proofErr w:type="spellStart"/>
      <w:r w:rsidRPr="008973CC">
        <w:rPr>
          <w:rFonts w:ascii="Times New Roman" w:hAnsi="Times New Roman"/>
          <w:sz w:val="24"/>
          <w:szCs w:val="24"/>
        </w:rPr>
        <w:t>неинвазивности</w:t>
      </w:r>
      <w:proofErr w:type="spellEnd"/>
      <w:r w:rsidRPr="008973CC">
        <w:rPr>
          <w:rFonts w:ascii="Times New Roman" w:hAnsi="Times New Roman"/>
          <w:sz w:val="24"/>
          <w:szCs w:val="24"/>
        </w:rPr>
        <w:t xml:space="preserve">. Тенденции в мировой онкологии также отражают замещение хирургического вмешательства современной лучевой терапией. Кроме того, возможности радиотерапии могут быть расширены за счет лечения высокими дозами протонов радиорезистентных опухолей, не поддающихся лечению традиционными способами лучевой терапии.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lastRenderedPageBreak/>
        <w:t>Однако высокая стоимость протонной терапии и ее низкая доступность вносят существенные ограничения по ее использованию. Поэтому прежде всего протонная терапия используется в тех случаях, когда риски применения других методов неприемлемы для пациентов, а эффективность протонной терапии доказана. Однако с появлением новых центров протонной терапии, постепенным снижением ее стоимости, а также проведением новых исследований, перечень применений протонной терапии расширяется. К примеру, относительно недавно стало понятно, что побочным эффектом после лучевой терапии является не только риск вторичного рака; излучение может иметь существенное влияние на сердечно-сосудистую систему. В частности, было показано, что традиционная лучевая терапия при раке молочной железы формирует долгосрочные сердечные побочные эффекты. Как результат, начато активное изучение и применение новых технологий для лечения рака молочной железы.</w:t>
      </w:r>
    </w:p>
    <w:p w:rsidR="008973CC" w:rsidRPr="008973CC" w:rsidRDefault="008973CC" w:rsidP="008973CC">
      <w:pPr>
        <w:spacing w:after="0" w:line="240" w:lineRule="auto"/>
        <w:rPr>
          <w:rFonts w:ascii="Times New Roman" w:hAnsi="Times New Roman"/>
          <w:b/>
          <w:color w:val="002060"/>
          <w:sz w:val="24"/>
          <w:szCs w:val="24"/>
        </w:rPr>
      </w:pPr>
      <w:bookmarkStart w:id="10" w:name="_Ref413928603"/>
    </w:p>
    <w:p w:rsidR="008973CC" w:rsidRPr="008973CC" w:rsidRDefault="008973CC" w:rsidP="008973CC">
      <w:pPr>
        <w:spacing w:after="0" w:line="240" w:lineRule="auto"/>
        <w:rPr>
          <w:rFonts w:ascii="Times New Roman" w:hAnsi="Times New Roman"/>
          <w:sz w:val="24"/>
          <w:szCs w:val="24"/>
        </w:rPr>
      </w:pPr>
      <w:r w:rsidRPr="008973CC">
        <w:rPr>
          <w:rFonts w:ascii="Times New Roman" w:hAnsi="Times New Roman"/>
          <w:b/>
          <w:color w:val="002060"/>
          <w:sz w:val="24"/>
          <w:szCs w:val="24"/>
        </w:rPr>
        <w:t xml:space="preserve">Табл.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Табл.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2</w:t>
      </w:r>
      <w:r w:rsidRPr="008973CC">
        <w:rPr>
          <w:rFonts w:ascii="Times New Roman" w:hAnsi="Times New Roman"/>
          <w:b/>
          <w:color w:val="002060"/>
          <w:sz w:val="24"/>
          <w:szCs w:val="24"/>
        </w:rPr>
        <w:fldChar w:fldCharType="end"/>
      </w:r>
      <w:bookmarkEnd w:id="10"/>
      <w:r w:rsidRPr="008973CC">
        <w:rPr>
          <w:rFonts w:ascii="Times New Roman" w:hAnsi="Times New Roman"/>
          <w:b/>
          <w:color w:val="002060"/>
          <w:sz w:val="24"/>
          <w:szCs w:val="24"/>
        </w:rPr>
        <w:t xml:space="preserve"> Локализация заболевания, применение ПТ и перспективы роста ее применения</w:t>
      </w:r>
    </w:p>
    <w:tbl>
      <w:tblPr>
        <w:tblW w:w="9776" w:type="dxa"/>
        <w:tblBorders>
          <w:top w:val="single" w:sz="4" w:space="0" w:color="4F81BD"/>
          <w:left w:val="single" w:sz="4" w:space="0" w:color="4F81BD"/>
          <w:bottom w:val="single" w:sz="4" w:space="0" w:color="4F81BD"/>
          <w:right w:val="single" w:sz="4" w:space="0" w:color="4F81BD"/>
        </w:tblBorders>
        <w:tblLayout w:type="fixed"/>
        <w:tblLook w:val="00A0" w:firstRow="1" w:lastRow="0" w:firstColumn="1" w:lastColumn="0" w:noHBand="0" w:noVBand="0"/>
      </w:tblPr>
      <w:tblGrid>
        <w:gridCol w:w="2521"/>
        <w:gridCol w:w="3570"/>
        <w:gridCol w:w="3685"/>
      </w:tblGrid>
      <w:tr w:rsidR="008973CC" w:rsidRPr="008973CC" w:rsidTr="00355141">
        <w:trPr>
          <w:trHeight w:val="703"/>
          <w:tblHeader/>
        </w:trPr>
        <w:tc>
          <w:tcPr>
            <w:tcW w:w="2521" w:type="dxa"/>
            <w:tcBorders>
              <w:bottom w:val="nil"/>
              <w:right w:val="nil"/>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Локализация рака</w:t>
            </w:r>
          </w:p>
        </w:tc>
        <w:tc>
          <w:tcPr>
            <w:tcW w:w="3570"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Протонная терапия (ПТ)</w:t>
            </w:r>
          </w:p>
        </w:tc>
        <w:tc>
          <w:tcPr>
            <w:tcW w:w="3685"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Драйверы будущего роста протонной терапии</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Мозг</w:t>
            </w: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ПT превосходит все подходы с использованием фотонов с точки зрения минимального влияния на здоровые клетки мозга</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Хирургия или традиционная лучевая терапия по-прежнему широко используются и со временем будут заменяться ПТ.</w:t>
            </w: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lang w:val="en-US"/>
              </w:rPr>
            </w:pPr>
            <w:r w:rsidRPr="008973CC">
              <w:rPr>
                <w:rFonts w:ascii="Times New Roman" w:hAnsi="Times New Roman"/>
                <w:b/>
                <w:bCs/>
                <w:sz w:val="24"/>
                <w:szCs w:val="24"/>
              </w:rPr>
              <w:t>Спинной мозг</w:t>
            </w: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Идеально для избирательного облучения области опухоли, не влияя на спинной мозг.</w:t>
            </w: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Спинной мозг ограничивает применение стандартной ЛТ</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Глаза</w:t>
            </w:r>
          </w:p>
          <w:p w:rsidR="008973CC" w:rsidRPr="008973CC" w:rsidRDefault="008973CC" w:rsidP="00355141">
            <w:pPr>
              <w:spacing w:after="0" w:line="240" w:lineRule="auto"/>
              <w:rPr>
                <w:rFonts w:ascii="Times New Roman" w:hAnsi="Times New Roman"/>
                <w:b/>
                <w:bCs/>
                <w:sz w:val="24"/>
                <w:szCs w:val="24"/>
              </w:rPr>
            </w:pP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ПТ применяется для более чем трети всех пациентов, начиная с 50-х годов</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Рост применения ограничен, поскольку ПТ уже широко используется во всем мире.</w:t>
            </w: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Голова и шея</w:t>
            </w:r>
          </w:p>
          <w:p w:rsidR="008973CC" w:rsidRPr="008973CC" w:rsidRDefault="008973CC" w:rsidP="00355141">
            <w:pPr>
              <w:spacing w:after="0" w:line="240" w:lineRule="auto"/>
              <w:rPr>
                <w:rFonts w:ascii="Times New Roman" w:hAnsi="Times New Roman"/>
                <w:b/>
                <w:bCs/>
                <w:sz w:val="24"/>
                <w:szCs w:val="24"/>
              </w:rPr>
            </w:pP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ПТ может предложить значительное снижение дозы в расположенных рядом здоровых органах</w:t>
            </w: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При отсутствии тщательного контроля этих органов и областей, лечение ЛТ может привести к возникновению серьезных побочных эффектов, таких как слепота, глухота и нарушение работы слюнных желез.</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proofErr w:type="spellStart"/>
            <w:r w:rsidRPr="008973CC">
              <w:rPr>
                <w:rFonts w:ascii="Times New Roman" w:hAnsi="Times New Roman"/>
                <w:b/>
                <w:bCs/>
                <w:sz w:val="24"/>
                <w:szCs w:val="24"/>
              </w:rPr>
              <w:t>Немелкоклеточный</w:t>
            </w:r>
            <w:proofErr w:type="spellEnd"/>
            <w:r w:rsidRPr="008973CC">
              <w:rPr>
                <w:rFonts w:ascii="Times New Roman" w:hAnsi="Times New Roman"/>
                <w:b/>
                <w:bCs/>
                <w:sz w:val="24"/>
                <w:szCs w:val="24"/>
              </w:rPr>
              <w:t xml:space="preserve"> рак легкого</w:t>
            </w:r>
          </w:p>
          <w:p w:rsidR="008973CC" w:rsidRPr="008973CC" w:rsidRDefault="008973CC" w:rsidP="00355141">
            <w:pPr>
              <w:spacing w:after="0" w:line="240" w:lineRule="auto"/>
              <w:rPr>
                <w:rFonts w:ascii="Times New Roman" w:hAnsi="Times New Roman"/>
                <w:b/>
                <w:bCs/>
                <w:sz w:val="24"/>
                <w:szCs w:val="24"/>
              </w:rPr>
            </w:pP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ПT является хорошим вариантом для лечения </w:t>
            </w:r>
            <w:proofErr w:type="spellStart"/>
            <w:r w:rsidRPr="008973CC">
              <w:rPr>
                <w:rFonts w:ascii="Times New Roman" w:hAnsi="Times New Roman"/>
                <w:sz w:val="24"/>
                <w:szCs w:val="24"/>
              </w:rPr>
              <w:t>немелкоклеточного</w:t>
            </w:r>
            <w:proofErr w:type="spellEnd"/>
            <w:r w:rsidRPr="008973CC">
              <w:rPr>
                <w:rFonts w:ascii="Times New Roman" w:hAnsi="Times New Roman"/>
                <w:sz w:val="24"/>
                <w:szCs w:val="24"/>
              </w:rPr>
              <w:t xml:space="preserve"> рака легкого при решении проблемы смещения опухоли во время терапии (с контролем дыхания).</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Снижение побочных эффектов и распространенность заболевания влияет на расширение применения ПТ</w:t>
            </w: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Молочная железа</w:t>
            </w:r>
          </w:p>
          <w:p w:rsidR="008973CC" w:rsidRPr="008973CC" w:rsidRDefault="008973CC" w:rsidP="00355141">
            <w:pPr>
              <w:spacing w:after="0" w:line="240" w:lineRule="auto"/>
              <w:rPr>
                <w:rFonts w:ascii="Times New Roman" w:hAnsi="Times New Roman"/>
                <w:b/>
                <w:bCs/>
                <w:sz w:val="24"/>
                <w:szCs w:val="24"/>
              </w:rPr>
            </w:pP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ПT рекомендуется для пациентов, которым запрещено облучение сердца и легких.</w:t>
            </w:r>
          </w:p>
          <w:p w:rsidR="008973CC" w:rsidRPr="008973CC" w:rsidRDefault="008973CC" w:rsidP="00355141">
            <w:pPr>
              <w:spacing w:after="0" w:line="240" w:lineRule="auto"/>
              <w:rPr>
                <w:rFonts w:ascii="Times New Roman" w:hAnsi="Times New Roman"/>
                <w:sz w:val="24"/>
                <w:szCs w:val="24"/>
              </w:rPr>
            </w:pP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Один из самых распространенных видов рака. Исследования по оценке преимуществ ПТ при раке молочной железы были начаты в 2013 году. В настоящее время применяется в некоторых клиниках.</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Пищевод</w:t>
            </w:r>
          </w:p>
          <w:p w:rsidR="008973CC" w:rsidRPr="008973CC" w:rsidRDefault="008973CC" w:rsidP="00355141">
            <w:pPr>
              <w:spacing w:after="0" w:line="240" w:lineRule="auto"/>
              <w:rPr>
                <w:rFonts w:ascii="Times New Roman" w:hAnsi="Times New Roman"/>
                <w:b/>
                <w:bCs/>
                <w:sz w:val="24"/>
                <w:szCs w:val="24"/>
              </w:rPr>
            </w:pP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lastRenderedPageBreak/>
              <w:t xml:space="preserve">ПT является эффективным </w:t>
            </w:r>
            <w:r w:rsidRPr="008973CC">
              <w:rPr>
                <w:rFonts w:ascii="Times New Roman" w:hAnsi="Times New Roman"/>
                <w:sz w:val="24"/>
                <w:szCs w:val="24"/>
              </w:rPr>
              <w:lastRenderedPageBreak/>
              <w:t>средством для лечения пациентов с раком пищевода, хотя эти результаты основаны только на малом количестве исследований.</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lastRenderedPageBreak/>
              <w:t xml:space="preserve">Последние медицинские данные </w:t>
            </w:r>
            <w:r w:rsidRPr="008973CC">
              <w:rPr>
                <w:rFonts w:ascii="Times New Roman" w:hAnsi="Times New Roman"/>
                <w:sz w:val="24"/>
                <w:szCs w:val="24"/>
              </w:rPr>
              <w:lastRenderedPageBreak/>
              <w:t>о более высокой выживаемости после лечения ПT способствуют ее продвижению.</w:t>
            </w: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lastRenderedPageBreak/>
              <w:t>Печень</w:t>
            </w:r>
          </w:p>
          <w:p w:rsidR="008973CC" w:rsidRPr="008973CC" w:rsidRDefault="008973CC" w:rsidP="00355141">
            <w:pPr>
              <w:spacing w:after="0" w:line="240" w:lineRule="auto"/>
              <w:rPr>
                <w:rFonts w:ascii="Times New Roman" w:hAnsi="Times New Roman"/>
                <w:b/>
                <w:bCs/>
                <w:sz w:val="24"/>
                <w:szCs w:val="24"/>
              </w:rPr>
            </w:pP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Сегодня в основном лечится хирургическим методом. Опухоли, прилегающие к желудочно-кишечному тракту, не могут быть обработаны с помощью ЛТ из-за высокой чувствительности кишечника к радиации.</w:t>
            </w: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При применении ПТ снижается токсичность. Начаты испытания, большая распространенность этого вида рака будет способствовать продвижению ПТ. </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Толстый кишечник</w:t>
            </w: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В первую очередь лечится хирургически и химиотерапией. Применение любой лучевой терапии затруднено из-за проблемы позиционирования.</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Клинические испытания пока не проводились.</w:t>
            </w:r>
          </w:p>
          <w:p w:rsidR="008973CC" w:rsidRPr="008973CC" w:rsidRDefault="008973CC" w:rsidP="00355141">
            <w:pPr>
              <w:spacing w:after="0" w:line="240" w:lineRule="auto"/>
              <w:rPr>
                <w:rFonts w:ascii="Times New Roman" w:hAnsi="Times New Roman"/>
                <w:sz w:val="24"/>
                <w:szCs w:val="24"/>
              </w:rPr>
            </w:pP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 xml:space="preserve">Прямая кишка </w:t>
            </w: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Обычная ЛТ является основной терапией. ПТ используется либо в качестве единственного механизма или в качестве добавки к рентгеновскому облучению.</w:t>
            </w: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ПT позволяет подводить более высокие дозы, что важно для повышения эффективности лечения.</w:t>
            </w:r>
          </w:p>
          <w:p w:rsidR="008973CC" w:rsidRPr="008973CC" w:rsidRDefault="008973CC" w:rsidP="00355141">
            <w:pPr>
              <w:spacing w:after="0" w:line="240" w:lineRule="auto"/>
              <w:rPr>
                <w:rFonts w:ascii="Times New Roman" w:hAnsi="Times New Roman"/>
                <w:sz w:val="24"/>
                <w:szCs w:val="24"/>
              </w:rPr>
            </w:pP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Поджелудочная железа</w:t>
            </w:r>
          </w:p>
          <w:p w:rsidR="008973CC" w:rsidRPr="008973CC" w:rsidRDefault="008973CC" w:rsidP="00355141">
            <w:pPr>
              <w:spacing w:after="0" w:line="240" w:lineRule="auto"/>
              <w:rPr>
                <w:rFonts w:ascii="Times New Roman" w:hAnsi="Times New Roman"/>
                <w:b/>
                <w:bCs/>
                <w:sz w:val="24"/>
                <w:szCs w:val="24"/>
              </w:rPr>
            </w:pP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Развитие болезни стремительно и опасно для жизни, поэтому агрессивные процедуры приемлемы.</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ПT имеет потенциал для достижения более высоких доз по сравнению с самыми современными методами фотонного облучения.</w:t>
            </w: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Простата</w:t>
            </w:r>
          </w:p>
          <w:p w:rsidR="008973CC" w:rsidRPr="008973CC" w:rsidRDefault="008973CC" w:rsidP="00355141">
            <w:pPr>
              <w:spacing w:after="0" w:line="240" w:lineRule="auto"/>
              <w:rPr>
                <w:rFonts w:ascii="Times New Roman" w:hAnsi="Times New Roman"/>
                <w:b/>
                <w:bCs/>
                <w:sz w:val="24"/>
                <w:szCs w:val="24"/>
              </w:rPr>
            </w:pP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ПT</w:t>
            </w:r>
            <w:r w:rsidRPr="008973CC">
              <w:rPr>
                <w:rFonts w:ascii="Times New Roman" w:hAnsi="Times New Roman"/>
                <w:sz w:val="24"/>
                <w:szCs w:val="24"/>
                <w:lang w:val="en-US"/>
              </w:rPr>
              <w:t xml:space="preserve"> </w:t>
            </w:r>
            <w:r w:rsidRPr="008973CC">
              <w:rPr>
                <w:rFonts w:ascii="Times New Roman" w:hAnsi="Times New Roman"/>
                <w:sz w:val="24"/>
                <w:szCs w:val="24"/>
              </w:rPr>
              <w:t>широко используется.</w:t>
            </w:r>
          </w:p>
          <w:p w:rsidR="008973CC" w:rsidRPr="008973CC" w:rsidRDefault="008973CC" w:rsidP="00355141">
            <w:pPr>
              <w:spacing w:after="0" w:line="240" w:lineRule="auto"/>
              <w:rPr>
                <w:rFonts w:ascii="Times New Roman" w:hAnsi="Times New Roman"/>
                <w:sz w:val="24"/>
                <w:szCs w:val="24"/>
              </w:rPr>
            </w:pP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Потенциал развития ограничен. Существует мнение, что </w:t>
            </w:r>
          </w:p>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IMRT почти так же эффективен при более низкой стоимости. Это требует подтверждения, хотя ПT будет сохранять свое преимущество из-за более низких побочных эффектов</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Мочевой пузырь</w:t>
            </w:r>
          </w:p>
          <w:p w:rsidR="008973CC" w:rsidRPr="008973CC" w:rsidRDefault="008973CC" w:rsidP="00355141">
            <w:pPr>
              <w:spacing w:after="0" w:line="240" w:lineRule="auto"/>
              <w:rPr>
                <w:rFonts w:ascii="Times New Roman" w:hAnsi="Times New Roman"/>
                <w:b/>
                <w:bCs/>
                <w:sz w:val="24"/>
                <w:szCs w:val="24"/>
              </w:rPr>
            </w:pPr>
          </w:p>
          <w:p w:rsidR="008973CC" w:rsidRPr="008973CC" w:rsidRDefault="008973CC" w:rsidP="00355141">
            <w:pPr>
              <w:spacing w:after="0" w:line="240" w:lineRule="auto"/>
              <w:rPr>
                <w:rFonts w:ascii="Times New Roman" w:hAnsi="Times New Roman"/>
                <w:b/>
                <w:bCs/>
                <w:sz w:val="24"/>
                <w:szCs w:val="24"/>
              </w:rPr>
            </w:pP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ПТ использовалась для малого количества пациентов</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Потенциал развития ограничен.</w:t>
            </w:r>
          </w:p>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Нет клинических доказательств, чтобы рекомендовать ПT в качестве приоритетного метода</w:t>
            </w:r>
          </w:p>
        </w:tc>
      </w:tr>
      <w:tr w:rsidR="008973CC" w:rsidRPr="008973CC" w:rsidTr="00355141">
        <w:tc>
          <w:tcPr>
            <w:tcW w:w="2521" w:type="dxa"/>
            <w:tcBorders>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Рак матки (в том числе шейки и тела)</w:t>
            </w:r>
          </w:p>
          <w:p w:rsidR="008973CC" w:rsidRPr="008973CC" w:rsidRDefault="008973CC" w:rsidP="00355141">
            <w:pPr>
              <w:spacing w:after="0" w:line="240" w:lineRule="auto"/>
              <w:rPr>
                <w:rFonts w:ascii="Times New Roman" w:hAnsi="Times New Roman"/>
                <w:b/>
                <w:bCs/>
                <w:sz w:val="24"/>
                <w:szCs w:val="24"/>
              </w:rPr>
            </w:pPr>
          </w:p>
        </w:tc>
        <w:tc>
          <w:tcPr>
            <w:tcW w:w="3570" w:type="dxa"/>
            <w:tcBorders>
              <w:left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ПТ использовалась для малого количеств пациентов </w:t>
            </w:r>
          </w:p>
        </w:tc>
        <w:tc>
          <w:tcPr>
            <w:tcW w:w="3685" w:type="dxa"/>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Потенциал развития ограничен.</w:t>
            </w:r>
          </w:p>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Нет клинических доказательств, чтобы рекомендовать ПT в качестве приоритетного метода</w:t>
            </w:r>
          </w:p>
        </w:tc>
      </w:tr>
      <w:tr w:rsidR="008973CC" w:rsidRPr="008973CC" w:rsidTr="00355141">
        <w:tc>
          <w:tcPr>
            <w:tcW w:w="2521" w:type="dxa"/>
            <w:tcBorders>
              <w:top w:val="single" w:sz="4" w:space="0" w:color="4F81BD"/>
              <w:bottom w:val="single" w:sz="4" w:space="0" w:color="4F81BD"/>
              <w:right w:val="nil"/>
            </w:tcBorders>
            <w:shd w:val="clear" w:color="auto" w:fill="FFFFFF"/>
          </w:tcPr>
          <w:p w:rsidR="008973CC" w:rsidRPr="008973CC" w:rsidRDefault="008973CC" w:rsidP="00355141">
            <w:pPr>
              <w:spacing w:after="0" w:line="240" w:lineRule="auto"/>
              <w:rPr>
                <w:rFonts w:ascii="Times New Roman" w:hAnsi="Times New Roman"/>
                <w:b/>
                <w:bCs/>
                <w:sz w:val="24"/>
                <w:szCs w:val="24"/>
              </w:rPr>
            </w:pPr>
            <w:r w:rsidRPr="008973CC">
              <w:rPr>
                <w:rFonts w:ascii="Times New Roman" w:hAnsi="Times New Roman"/>
                <w:b/>
                <w:bCs/>
                <w:sz w:val="24"/>
                <w:szCs w:val="24"/>
              </w:rPr>
              <w:t>Детская онкология</w:t>
            </w:r>
          </w:p>
          <w:p w:rsidR="008973CC" w:rsidRPr="008973CC" w:rsidRDefault="008973CC" w:rsidP="00355141">
            <w:pPr>
              <w:spacing w:after="0" w:line="240" w:lineRule="auto"/>
              <w:rPr>
                <w:rFonts w:ascii="Times New Roman" w:hAnsi="Times New Roman"/>
                <w:b/>
                <w:bCs/>
                <w:sz w:val="24"/>
                <w:szCs w:val="24"/>
              </w:rPr>
            </w:pPr>
          </w:p>
        </w:tc>
        <w:tc>
          <w:tcPr>
            <w:tcW w:w="3570" w:type="dxa"/>
            <w:tcBorders>
              <w:top w:val="single" w:sz="4" w:space="0" w:color="4F81BD"/>
              <w:left w:val="single" w:sz="4" w:space="0" w:color="4F81BD"/>
              <w:bottom w:val="single" w:sz="4" w:space="0" w:color="4F81BD"/>
              <w:right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ПТ рекомендована для лечения почти всех видов злокачественных опухолей у детей </w:t>
            </w:r>
          </w:p>
        </w:tc>
        <w:tc>
          <w:tcPr>
            <w:tcW w:w="3685" w:type="dxa"/>
            <w:tcBorders>
              <w:top w:val="single" w:sz="4" w:space="0" w:color="4F81BD"/>
              <w:bottom w:val="single" w:sz="4" w:space="0" w:color="4F81BD"/>
            </w:tcBorders>
            <w:shd w:val="clear" w:color="auto" w:fill="auto"/>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Обычная лучевая терапия создает значительные риски развития вторичных раковых заболеваний в связи с восприимчивостью </w:t>
            </w:r>
            <w:r w:rsidRPr="008973CC">
              <w:rPr>
                <w:rFonts w:ascii="Times New Roman" w:hAnsi="Times New Roman"/>
                <w:sz w:val="24"/>
                <w:szCs w:val="24"/>
              </w:rPr>
              <w:lastRenderedPageBreak/>
              <w:t>детей к радиации. Рекомендована замена обычной ЛТ на ПТ во всех областях.</w:t>
            </w:r>
          </w:p>
        </w:tc>
      </w:tr>
    </w:tbl>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lastRenderedPageBreak/>
        <w:t xml:space="preserve">В настоящее время оценки потребности в протонной терапии с учетом названных ограничений разнятся. В Японии планируется обеспечить порядка 20% больных, направляемых на дистанционную лучевую терапию.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Группы лучевых терапевтов Австрии, Франции, Германии и Италии, опираясь на структуру онкологической заболеваемости согласно национальным данным, провели детальный анализ потенциальных пациентов </w:t>
      </w:r>
      <w:proofErr w:type="spellStart"/>
      <w:r w:rsidRPr="008973CC">
        <w:rPr>
          <w:rFonts w:ascii="Times New Roman" w:hAnsi="Times New Roman"/>
          <w:sz w:val="24"/>
          <w:szCs w:val="24"/>
        </w:rPr>
        <w:t>адронной</w:t>
      </w:r>
      <w:proofErr w:type="spellEnd"/>
      <w:r w:rsidRPr="008973CC">
        <w:rPr>
          <w:rFonts w:ascii="Times New Roman" w:hAnsi="Times New Roman"/>
          <w:sz w:val="24"/>
          <w:szCs w:val="24"/>
        </w:rPr>
        <w:t xml:space="preserve"> терапии. Они показали, что в ней нуждаются 16% больных, получающих сегодня гамма-терапию (13% – в протонной терапии, 3% – в ионной терапии).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Опираясь на эту минимальную оценку, можно утверждать, что в России в протонной терапии ежегодно нуждаются около 50 тысяч больных, из них только в Москве – около 3 тысяч. Сегодняшние ограничения применения протонной терапии связаны с ее высокой стоимостью и низкой доступностью (недостаточным количеством протонных центров). Кроме того, область применения протонной терапии неуклонно расширяется.</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Протонные пучки являются лучшим и, вероятно, последним средством дальнейшего снижения лучевой нагрузки на здоровые ткани. Сравнение двух </w:t>
      </w:r>
      <w:proofErr w:type="spellStart"/>
      <w:r w:rsidRPr="008973CC">
        <w:rPr>
          <w:rFonts w:ascii="Times New Roman" w:hAnsi="Times New Roman"/>
          <w:sz w:val="24"/>
          <w:szCs w:val="24"/>
        </w:rPr>
        <w:t>дозно</w:t>
      </w:r>
      <w:proofErr w:type="spellEnd"/>
      <w:r w:rsidRPr="008973CC">
        <w:rPr>
          <w:rFonts w:ascii="Times New Roman" w:hAnsi="Times New Roman"/>
          <w:sz w:val="24"/>
          <w:szCs w:val="24"/>
        </w:rPr>
        <w:t xml:space="preserve">-анатомических планов облучения одной и той же мишени – плана гамма-облучения и плана протонного облучения – всегда показывает, что в последнем случае лучевая нагрузка на здоровые ткани оказывается существенно меньше (примерно в два раза), а в случае облучения сканирующим пучком с многих направлений – примерно в 10 раз, особенно это заметно при сравнении интегральных доз, полученных телом пациента.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Кроме того, протонная лучевая терапия в силу особенностей прохождения протонов через вещество – возможность создания на дистальной (задней) и боковых границах мишени высочайших краевых градиентов дозы – открыла еще две абсолютно новые возможности в лучевом лечении:</w:t>
      </w:r>
    </w:p>
    <w:p w:rsidR="008973CC" w:rsidRPr="008973CC" w:rsidRDefault="008973CC" w:rsidP="008973CC">
      <w:pPr>
        <w:numPr>
          <w:ilvl w:val="0"/>
          <w:numId w:val="4"/>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облучение малых и сверхмалых мишеней;</w:t>
      </w:r>
    </w:p>
    <w:p w:rsidR="008973CC" w:rsidRPr="008973CC" w:rsidRDefault="008973CC" w:rsidP="008973CC">
      <w:pPr>
        <w:numPr>
          <w:ilvl w:val="0"/>
          <w:numId w:val="4"/>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облучение мишеней, расположенных практически вплотную к критическим органам и структурам.</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таблице ниже представлено сравнение основных видов лучевой терапии по ряду клинически важных параметров. Из таблицы видно, что по таким параметрам как </w:t>
      </w:r>
      <w:proofErr w:type="spellStart"/>
      <w:r w:rsidRPr="008973CC">
        <w:rPr>
          <w:rFonts w:ascii="Times New Roman" w:hAnsi="Times New Roman"/>
          <w:sz w:val="24"/>
          <w:szCs w:val="24"/>
        </w:rPr>
        <w:t>конформность</w:t>
      </w:r>
      <w:proofErr w:type="spellEnd"/>
      <w:r w:rsidRPr="008973CC">
        <w:rPr>
          <w:rFonts w:ascii="Times New Roman" w:hAnsi="Times New Roman"/>
          <w:sz w:val="24"/>
          <w:szCs w:val="24"/>
        </w:rPr>
        <w:t xml:space="preserve"> облучения, улучшенное распределение дозы, лечение радиорезистентных опухолей, риск развития вторичных злокачественных заболеваний и других осложнений, наиболее востребованными являются протонная терапия со сканирующим пучком, ионная и нейтронно-захватная терапия. К сожалению, активное внедрение последних двух методов в клиническую практику задерживается в силу высокой стоимости, недостаточного развития ускорительной техники и, в случае нейтронно-захватной терапии, отсутствием подходящих препаратов. Активное внедрение </w:t>
      </w:r>
      <w:proofErr w:type="spellStart"/>
      <w:r w:rsidRPr="008973CC">
        <w:rPr>
          <w:rFonts w:ascii="Times New Roman" w:hAnsi="Times New Roman"/>
          <w:sz w:val="24"/>
          <w:szCs w:val="24"/>
        </w:rPr>
        <w:t>брахитерапии</w:t>
      </w:r>
      <w:proofErr w:type="spellEnd"/>
      <w:r w:rsidRPr="008973CC">
        <w:rPr>
          <w:rFonts w:ascii="Times New Roman" w:hAnsi="Times New Roman"/>
          <w:sz w:val="24"/>
          <w:szCs w:val="24"/>
        </w:rPr>
        <w:t xml:space="preserve"> ограничено облучением обслуживающего персонала.</w:t>
      </w:r>
    </w:p>
    <w:p w:rsidR="008973CC" w:rsidRPr="008973CC" w:rsidRDefault="008973CC" w:rsidP="008973CC">
      <w:pPr>
        <w:spacing w:after="0" w:line="240" w:lineRule="auto"/>
        <w:ind w:firstLine="567"/>
        <w:rPr>
          <w:rFonts w:ascii="Times New Roman" w:hAnsi="Times New Roman"/>
          <w:b/>
          <w:color w:val="002060"/>
          <w:sz w:val="24"/>
          <w:szCs w:val="24"/>
        </w:rPr>
      </w:pPr>
    </w:p>
    <w:p w:rsidR="008973CC" w:rsidRPr="008973CC" w:rsidRDefault="008973CC" w:rsidP="008973CC">
      <w:pPr>
        <w:spacing w:after="0" w:line="240" w:lineRule="auto"/>
        <w:ind w:firstLine="567"/>
        <w:rPr>
          <w:rFonts w:ascii="Times New Roman" w:hAnsi="Times New Roman"/>
          <w:sz w:val="24"/>
          <w:szCs w:val="24"/>
        </w:rPr>
      </w:pPr>
      <w:r w:rsidRPr="008973CC">
        <w:rPr>
          <w:rFonts w:ascii="Times New Roman" w:hAnsi="Times New Roman"/>
          <w:b/>
          <w:color w:val="002060"/>
          <w:sz w:val="24"/>
          <w:szCs w:val="24"/>
        </w:rPr>
        <w:t xml:space="preserve">Табл.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Табл.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3</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xml:space="preserve"> Оценка эффективности методов лучевой терапии </w:t>
      </w:r>
    </w:p>
    <w:tbl>
      <w:tblPr>
        <w:tblW w:w="5004" w:type="pct"/>
        <w:tblBorders>
          <w:top w:val="single" w:sz="4" w:space="0" w:color="4F81BD"/>
          <w:left w:val="single" w:sz="4" w:space="0" w:color="4F81BD"/>
          <w:bottom w:val="single" w:sz="4" w:space="0" w:color="4F81BD"/>
          <w:right w:val="single" w:sz="4" w:space="0" w:color="4F81BD"/>
        </w:tblBorders>
        <w:tblLayout w:type="fixed"/>
        <w:tblLook w:val="0020" w:firstRow="1" w:lastRow="0" w:firstColumn="0" w:lastColumn="0" w:noHBand="0" w:noVBand="0"/>
      </w:tblPr>
      <w:tblGrid>
        <w:gridCol w:w="2077"/>
        <w:gridCol w:w="1501"/>
        <w:gridCol w:w="1772"/>
        <w:gridCol w:w="1833"/>
        <w:gridCol w:w="2396"/>
      </w:tblGrid>
      <w:tr w:rsidR="008973CC" w:rsidRPr="008973CC" w:rsidTr="00355141">
        <w:trPr>
          <w:tblHeader/>
        </w:trPr>
        <w:tc>
          <w:tcPr>
            <w:tcW w:w="2090"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Метод лучевой терапии</w:t>
            </w:r>
          </w:p>
        </w:tc>
        <w:tc>
          <w:tcPr>
            <w:tcW w:w="1509"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Конформное облучение</w:t>
            </w:r>
          </w:p>
        </w:tc>
        <w:tc>
          <w:tcPr>
            <w:tcW w:w="1782"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Высокие параметры распределения дозы</w:t>
            </w:r>
          </w:p>
        </w:tc>
        <w:tc>
          <w:tcPr>
            <w:tcW w:w="1844"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Лечение радиорезистентных опухолей</w:t>
            </w:r>
          </w:p>
        </w:tc>
        <w:tc>
          <w:tcPr>
            <w:tcW w:w="2410"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Риск развития вторичных</w:t>
            </w:r>
          </w:p>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злокачественных</w:t>
            </w:r>
          </w:p>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заболеваний и других</w:t>
            </w:r>
          </w:p>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осложнений</w:t>
            </w:r>
          </w:p>
        </w:tc>
      </w:tr>
      <w:tr w:rsidR="008973CC" w:rsidRPr="008973CC" w:rsidTr="00355141">
        <w:trPr>
          <w:trHeight w:val="278"/>
        </w:trPr>
        <w:tc>
          <w:tcPr>
            <w:tcW w:w="209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Гамма-терапия</w:t>
            </w:r>
          </w:p>
        </w:tc>
        <w:tc>
          <w:tcPr>
            <w:tcW w:w="1509"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высокий</w:t>
            </w:r>
          </w:p>
        </w:tc>
      </w:tr>
      <w:tr w:rsidR="008973CC" w:rsidRPr="008973CC" w:rsidTr="00355141">
        <w:trPr>
          <w:trHeight w:val="278"/>
        </w:trPr>
        <w:tc>
          <w:tcPr>
            <w:tcW w:w="209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lastRenderedPageBreak/>
              <w:t>Рентгеновская терапия (</w:t>
            </w:r>
            <w:proofErr w:type="spellStart"/>
            <w:r w:rsidRPr="008973CC">
              <w:rPr>
                <w:rFonts w:ascii="Times New Roman" w:hAnsi="Times New Roman"/>
                <w:sz w:val="24"/>
                <w:szCs w:val="24"/>
              </w:rPr>
              <w:t>кибер</w:t>
            </w:r>
            <w:proofErr w:type="spellEnd"/>
            <w:r w:rsidRPr="008973CC">
              <w:rPr>
                <w:rFonts w:ascii="Times New Roman" w:hAnsi="Times New Roman"/>
                <w:sz w:val="24"/>
                <w:szCs w:val="24"/>
              </w:rPr>
              <w:t>-нож)</w:t>
            </w:r>
          </w:p>
        </w:tc>
        <w:tc>
          <w:tcPr>
            <w:tcW w:w="1509"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средний</w:t>
            </w:r>
          </w:p>
        </w:tc>
      </w:tr>
      <w:tr w:rsidR="008973CC" w:rsidRPr="008973CC" w:rsidTr="00355141">
        <w:trPr>
          <w:trHeight w:val="278"/>
        </w:trPr>
        <w:tc>
          <w:tcPr>
            <w:tcW w:w="209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Электронная терапия</w:t>
            </w:r>
          </w:p>
        </w:tc>
        <w:tc>
          <w:tcPr>
            <w:tcW w:w="1509"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высокий</w:t>
            </w:r>
          </w:p>
        </w:tc>
      </w:tr>
      <w:tr w:rsidR="008973CC" w:rsidRPr="008973CC" w:rsidTr="00355141">
        <w:tc>
          <w:tcPr>
            <w:tcW w:w="209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proofErr w:type="spellStart"/>
            <w:r w:rsidRPr="008973CC">
              <w:rPr>
                <w:rFonts w:ascii="Times New Roman" w:hAnsi="Times New Roman"/>
                <w:sz w:val="24"/>
                <w:szCs w:val="24"/>
              </w:rPr>
              <w:t>Брахитерапия</w:t>
            </w:r>
            <w:proofErr w:type="spellEnd"/>
          </w:p>
        </w:tc>
        <w:tc>
          <w:tcPr>
            <w:tcW w:w="1509"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низкий</w:t>
            </w:r>
          </w:p>
        </w:tc>
      </w:tr>
      <w:tr w:rsidR="008973CC" w:rsidRPr="008973CC" w:rsidTr="00355141">
        <w:tc>
          <w:tcPr>
            <w:tcW w:w="209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Протонная терапия (пассивный метод формирования пучка)</w:t>
            </w:r>
          </w:p>
        </w:tc>
        <w:tc>
          <w:tcPr>
            <w:tcW w:w="1509"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средний</w:t>
            </w:r>
          </w:p>
        </w:tc>
      </w:tr>
      <w:tr w:rsidR="008973CC" w:rsidRPr="008973CC" w:rsidTr="00355141">
        <w:tc>
          <w:tcPr>
            <w:tcW w:w="209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Протонная терапия (метод сканирующего пучка)</w:t>
            </w:r>
          </w:p>
        </w:tc>
        <w:tc>
          <w:tcPr>
            <w:tcW w:w="1509"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низкий</w:t>
            </w:r>
          </w:p>
        </w:tc>
      </w:tr>
      <w:tr w:rsidR="008973CC" w:rsidRPr="008973CC" w:rsidTr="00355141">
        <w:tc>
          <w:tcPr>
            <w:tcW w:w="209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Нейтронная терапия</w:t>
            </w:r>
          </w:p>
        </w:tc>
        <w:tc>
          <w:tcPr>
            <w:tcW w:w="1509"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высокий</w:t>
            </w:r>
          </w:p>
        </w:tc>
      </w:tr>
      <w:tr w:rsidR="008973CC" w:rsidRPr="008973CC" w:rsidTr="00355141">
        <w:tc>
          <w:tcPr>
            <w:tcW w:w="209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Нейтрон-захватная терапия (при высокой </w:t>
            </w:r>
            <w:proofErr w:type="spellStart"/>
            <w:r w:rsidRPr="008973CC">
              <w:rPr>
                <w:rFonts w:ascii="Times New Roman" w:hAnsi="Times New Roman"/>
                <w:sz w:val="24"/>
                <w:szCs w:val="24"/>
              </w:rPr>
              <w:t>туморотропности</w:t>
            </w:r>
            <w:proofErr w:type="spellEnd"/>
            <w:r w:rsidRPr="008973CC">
              <w:rPr>
                <w:rFonts w:ascii="Times New Roman" w:hAnsi="Times New Roman"/>
                <w:sz w:val="24"/>
                <w:szCs w:val="24"/>
              </w:rPr>
              <w:t xml:space="preserve"> препаратов)</w:t>
            </w:r>
          </w:p>
        </w:tc>
        <w:tc>
          <w:tcPr>
            <w:tcW w:w="1509"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низкий</w:t>
            </w:r>
          </w:p>
        </w:tc>
      </w:tr>
      <w:tr w:rsidR="008973CC" w:rsidRPr="008973CC" w:rsidTr="00355141">
        <w:trPr>
          <w:trHeight w:val="621"/>
        </w:trPr>
        <w:tc>
          <w:tcPr>
            <w:tcW w:w="209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Ионная терапия (</w:t>
            </w:r>
            <w:r w:rsidRPr="008973CC">
              <w:rPr>
                <w:rFonts w:ascii="Times New Roman" w:hAnsi="Times New Roman"/>
                <w:sz w:val="24"/>
                <w:szCs w:val="24"/>
                <w:vertAlign w:val="superscript"/>
              </w:rPr>
              <w:t>12</w:t>
            </w:r>
            <w:r w:rsidRPr="008973CC">
              <w:rPr>
                <w:rFonts w:ascii="Times New Roman" w:hAnsi="Times New Roman"/>
                <w:sz w:val="24"/>
                <w:szCs w:val="24"/>
              </w:rPr>
              <w:t>С)</w:t>
            </w:r>
          </w:p>
        </w:tc>
        <w:tc>
          <w:tcPr>
            <w:tcW w:w="1509"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7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1844"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w:t>
            </w:r>
          </w:p>
        </w:tc>
        <w:tc>
          <w:tcPr>
            <w:tcW w:w="2410"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низкий</w:t>
            </w:r>
          </w:p>
        </w:tc>
      </w:tr>
    </w:tbl>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целом, с уверенностью можно сказать, что, перешагнув 100-летний рубеж, лучевая терапия переживает сегодня небывалый расцвет. Показания к ее применению все время расширяются. Сегодня лучевая терапия – научно обоснованный метод, интегрирующий достижения экспериментальной и клинической онкологии и радиобиологии, клинической радиологии, физики, </w:t>
      </w:r>
      <w:proofErr w:type="spellStart"/>
      <w:r w:rsidRPr="008973CC">
        <w:rPr>
          <w:rFonts w:ascii="Times New Roman" w:hAnsi="Times New Roman"/>
          <w:sz w:val="24"/>
          <w:szCs w:val="24"/>
        </w:rPr>
        <w:t>аппаратостроения</w:t>
      </w:r>
      <w:proofErr w:type="spellEnd"/>
      <w:r w:rsidRPr="008973CC">
        <w:rPr>
          <w:rFonts w:ascii="Times New Roman" w:hAnsi="Times New Roman"/>
          <w:sz w:val="24"/>
          <w:szCs w:val="24"/>
        </w:rPr>
        <w:t xml:space="preserve"> и ряда других смежных отраслей науки. Параллельно с резко возросшими возможностями возросло и значение лучевой терапии как одного из главных методов противоопухолевого воздействия. Сегодня в ней нуждаются до трех четвертей онкологических больных. С паллиативного, в большинстве случаев, пособия, лучевая терапия поднялась на качественно новый уровень радикального лечения. Современные методы лучевой терапии в развитых странах позволили существенно сократить необходимость хирургического вмешательства.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Протонная терапия, особенно в сочетании с ионной, может обеспечить решение сразу нескольких задач: достижение высоких параметров распределения дозы, </w:t>
      </w:r>
      <w:proofErr w:type="spellStart"/>
      <w:r w:rsidRPr="008973CC">
        <w:rPr>
          <w:rFonts w:ascii="Times New Roman" w:hAnsi="Times New Roman"/>
          <w:sz w:val="24"/>
          <w:szCs w:val="24"/>
        </w:rPr>
        <w:t>конформность</w:t>
      </w:r>
      <w:proofErr w:type="spellEnd"/>
      <w:r w:rsidRPr="008973CC">
        <w:rPr>
          <w:rFonts w:ascii="Times New Roman" w:hAnsi="Times New Roman"/>
          <w:sz w:val="24"/>
          <w:szCs w:val="24"/>
        </w:rPr>
        <w:t xml:space="preserve"> облучения, лечение радиорезистентных опухолей (ионная). </w:t>
      </w:r>
    </w:p>
    <w:p w:rsidR="008973CC" w:rsidRPr="008973CC" w:rsidRDefault="008973CC" w:rsidP="008973CC">
      <w:pPr>
        <w:spacing w:after="0" w:line="240" w:lineRule="auto"/>
        <w:jc w:val="both"/>
        <w:outlineLvl w:val="2"/>
        <w:rPr>
          <w:rFonts w:ascii="Times New Roman" w:hAnsi="Times New Roman"/>
          <w:b/>
          <w:sz w:val="24"/>
          <w:szCs w:val="24"/>
        </w:rPr>
      </w:pPr>
      <w:bookmarkStart w:id="11" w:name="_Toc417909486"/>
      <w:r w:rsidRPr="008973CC">
        <w:rPr>
          <w:rFonts w:ascii="Times New Roman" w:hAnsi="Times New Roman"/>
          <w:b/>
          <w:sz w:val="24"/>
          <w:szCs w:val="24"/>
        </w:rPr>
        <w:t>5.2.5. Рынок протонной терапии</w:t>
      </w:r>
      <w:bookmarkEnd w:id="11"/>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Как отмечалось выше, использование протонов для лечения онкологических заболеваний началось в экспериментальных физических центрах в середине </w:t>
      </w:r>
      <w:r w:rsidRPr="008973CC">
        <w:rPr>
          <w:rFonts w:ascii="Times New Roman" w:hAnsi="Times New Roman"/>
          <w:sz w:val="24"/>
          <w:szCs w:val="24"/>
          <w:lang w:val="en-US"/>
        </w:rPr>
        <w:t>XX</w:t>
      </w:r>
      <w:r w:rsidRPr="008973CC">
        <w:rPr>
          <w:rFonts w:ascii="Times New Roman" w:hAnsi="Times New Roman"/>
          <w:sz w:val="24"/>
          <w:szCs w:val="24"/>
        </w:rPr>
        <w:t xml:space="preserve"> века. В 1990 году появился первый медицинский центр протонной терапии.</w:t>
      </w: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lastRenderedPageBreak/>
        <w:drawing>
          <wp:inline distT="0" distB="0" distL="0" distR="0" wp14:anchorId="25A7AA32" wp14:editId="2C391057">
            <wp:extent cx="5800725" cy="2800350"/>
            <wp:effectExtent l="0" t="0" r="0" b="0"/>
            <wp:docPr id="40" name="Диаграмма 4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13</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xml:space="preserve">. </w:t>
      </w:r>
      <w:r w:rsidRPr="008973CC">
        <w:rPr>
          <w:rFonts w:ascii="Times New Roman" w:hAnsi="Times New Roman"/>
          <w:b/>
          <w:noProof/>
          <w:color w:val="002060"/>
          <w:sz w:val="24"/>
          <w:szCs w:val="24"/>
        </w:rPr>
        <w:t>Открытие центров адронной</w:t>
      </w:r>
      <w:r w:rsidRPr="008973CC">
        <w:rPr>
          <w:rFonts w:ascii="Times New Roman" w:hAnsi="Times New Roman"/>
          <w:b/>
          <w:noProof/>
          <w:color w:val="002060"/>
          <w:sz w:val="24"/>
          <w:szCs w:val="24"/>
          <w:vertAlign w:val="superscript"/>
        </w:rPr>
        <w:footnoteReference w:id="11"/>
      </w:r>
      <w:r w:rsidRPr="008973CC">
        <w:rPr>
          <w:rFonts w:ascii="Times New Roman" w:hAnsi="Times New Roman"/>
          <w:b/>
          <w:noProof/>
          <w:color w:val="002060"/>
          <w:sz w:val="24"/>
          <w:szCs w:val="24"/>
        </w:rPr>
        <w:t xml:space="preserve"> терапии</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Как видно из графика, после 1993 года открытие новых центров происходило ежегодно. Технологии совершенствовались, однако стоимость строительства оставалась весьма высокой. К 2010 году ряд производителей заявили о разработке новых компактных (</w:t>
      </w:r>
      <w:proofErr w:type="spellStart"/>
      <w:r w:rsidRPr="008973CC">
        <w:rPr>
          <w:rFonts w:ascii="Times New Roman" w:hAnsi="Times New Roman"/>
          <w:sz w:val="24"/>
          <w:szCs w:val="24"/>
        </w:rPr>
        <w:t>однокабинных</w:t>
      </w:r>
      <w:proofErr w:type="spellEnd"/>
      <w:r w:rsidRPr="008973CC">
        <w:rPr>
          <w:rFonts w:ascii="Times New Roman" w:hAnsi="Times New Roman"/>
          <w:sz w:val="24"/>
          <w:szCs w:val="24"/>
        </w:rPr>
        <w:t>) и относительно недорогих решений. Сейчас средняя стоимость открытия центра с пятью кабинами составляет $100+ млн, с одной кабиной - $30-40 млн. В настоящее время отрасль переживает настоящий бум – в 2014 году открылись рекордные за всю историю 7 центров, 29 центров находится в стадии строительства (отмечены штрихом) и 16 центров – в стадии проектирования.</w:t>
      </w:r>
      <w:r w:rsidRPr="008973CC">
        <w:rPr>
          <w:rFonts w:ascii="Times New Roman" w:hAnsi="Times New Roman"/>
          <w:sz w:val="24"/>
          <w:szCs w:val="24"/>
          <w:vertAlign w:val="superscript"/>
        </w:rPr>
        <w:footnoteReference w:id="12"/>
      </w:r>
      <w:r w:rsidRPr="008973CC">
        <w:rPr>
          <w:rFonts w:ascii="Times New Roman" w:hAnsi="Times New Roman"/>
          <w:sz w:val="24"/>
          <w:szCs w:val="24"/>
        </w:rPr>
        <w:t xml:space="preserve"> В 2015 году планировалось открыть 16 центров протонной терапии и 2 центра ионной терапии.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настоящее время в мире действует 54 центра </w:t>
      </w:r>
      <w:proofErr w:type="spellStart"/>
      <w:r w:rsidRPr="008973CC">
        <w:rPr>
          <w:rFonts w:ascii="Times New Roman" w:hAnsi="Times New Roman"/>
          <w:sz w:val="24"/>
          <w:szCs w:val="24"/>
        </w:rPr>
        <w:t>адронной</w:t>
      </w:r>
      <w:proofErr w:type="spellEnd"/>
      <w:r w:rsidRPr="008973CC">
        <w:rPr>
          <w:rFonts w:ascii="Times New Roman" w:hAnsi="Times New Roman"/>
          <w:sz w:val="24"/>
          <w:szCs w:val="24"/>
        </w:rPr>
        <w:t xml:space="preserve"> терапии, в том числе 46 центров протонной терапии и 8 центров ионной терапии. Распределение центров представлено на графике:</w:t>
      </w: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drawing>
          <wp:inline distT="0" distB="0" distL="0" distR="0" wp14:anchorId="24349AB8" wp14:editId="112058C4">
            <wp:extent cx="5305425" cy="3095625"/>
            <wp:effectExtent l="0" t="0" r="0" b="0"/>
            <wp:docPr id="41" name="Диаграмма 4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 xml:space="preserve">Рис.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Рис.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14</w:t>
      </w:r>
      <w:r w:rsidRPr="008973CC">
        <w:rPr>
          <w:rFonts w:ascii="Times New Roman" w:hAnsi="Times New Roman"/>
          <w:b/>
          <w:color w:val="002060"/>
          <w:sz w:val="24"/>
          <w:szCs w:val="24"/>
        </w:rPr>
        <w:fldChar w:fldCharType="end"/>
      </w:r>
      <w:r w:rsidRPr="008973CC">
        <w:rPr>
          <w:rFonts w:ascii="Times New Roman" w:hAnsi="Times New Roman"/>
          <w:b/>
          <w:color w:val="002060"/>
          <w:sz w:val="24"/>
          <w:szCs w:val="24"/>
        </w:rPr>
        <w:t xml:space="preserve">. </w:t>
      </w:r>
      <w:r w:rsidRPr="008973CC">
        <w:rPr>
          <w:rFonts w:ascii="Times New Roman" w:hAnsi="Times New Roman"/>
          <w:b/>
          <w:noProof/>
          <w:color w:val="002060"/>
          <w:sz w:val="24"/>
          <w:szCs w:val="24"/>
        </w:rPr>
        <w:t>Действующие центры протонной и ионной терапии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lastRenderedPageBreak/>
        <w:t>2 центра ионной терапии находятся в Китае, 4 – в Японии и 2 – в Европе. В стадии строительства по одному центру в Китае и Японии. Лидер рынка протонной терапии – США, там находится 16 центров протонной терапии, еще 13 строятся и 4 находятся в стадии проектирования. В Европе 5 центров строятся и еще 9 проектируются. Всего к 2018 году в мире число работающих центров должно достичь 99.</w:t>
      </w: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drawing>
          <wp:inline distT="0" distB="0" distL="0" distR="0" wp14:anchorId="20FA1B77" wp14:editId="35FC69EA">
            <wp:extent cx="5295900" cy="3105150"/>
            <wp:effectExtent l="0" t="0" r="0" b="0"/>
            <wp:docPr id="42" name="Диаграмма 4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8973CC" w:rsidRPr="008973CC" w:rsidRDefault="008973CC" w:rsidP="008973CC">
      <w:pPr>
        <w:spacing w:after="0" w:line="240" w:lineRule="auto"/>
        <w:ind w:firstLine="567"/>
        <w:jc w:val="both"/>
        <w:rPr>
          <w:rFonts w:ascii="Times New Roman" w:hAnsi="Times New Roman"/>
          <w:b/>
          <w:noProof/>
          <w:color w:val="002060"/>
          <w:sz w:val="24"/>
          <w:szCs w:val="24"/>
        </w:rPr>
      </w:pPr>
      <w:r w:rsidRPr="008973CC">
        <w:rPr>
          <w:rFonts w:ascii="Times New Roman" w:hAnsi="Times New Roman"/>
          <w:b/>
          <w:noProof/>
          <w:color w:val="002060"/>
          <w:sz w:val="24"/>
          <w:szCs w:val="24"/>
        </w:rPr>
        <w:t xml:space="preserve">Рис. </w:t>
      </w:r>
      <w:r w:rsidRPr="008973CC">
        <w:rPr>
          <w:rFonts w:ascii="Times New Roman" w:hAnsi="Times New Roman"/>
          <w:b/>
          <w:noProof/>
          <w:color w:val="002060"/>
          <w:sz w:val="24"/>
          <w:szCs w:val="24"/>
        </w:rPr>
        <w:fldChar w:fldCharType="begin"/>
      </w:r>
      <w:r w:rsidRPr="008973CC">
        <w:rPr>
          <w:rFonts w:ascii="Times New Roman" w:hAnsi="Times New Roman"/>
          <w:b/>
          <w:noProof/>
          <w:color w:val="002060"/>
          <w:sz w:val="24"/>
          <w:szCs w:val="24"/>
        </w:rPr>
        <w:instrText xml:space="preserve"> SEQ Рис. \* ARABIC </w:instrText>
      </w:r>
      <w:r w:rsidRPr="008973CC">
        <w:rPr>
          <w:rFonts w:ascii="Times New Roman" w:hAnsi="Times New Roman"/>
          <w:b/>
          <w:noProof/>
          <w:color w:val="002060"/>
          <w:sz w:val="24"/>
          <w:szCs w:val="24"/>
        </w:rPr>
        <w:fldChar w:fldCharType="separate"/>
      </w:r>
      <w:r w:rsidRPr="008973CC">
        <w:rPr>
          <w:rFonts w:ascii="Times New Roman" w:hAnsi="Times New Roman"/>
          <w:b/>
          <w:noProof/>
          <w:color w:val="002060"/>
          <w:sz w:val="24"/>
          <w:szCs w:val="24"/>
        </w:rPr>
        <w:t>15</w:t>
      </w:r>
      <w:r w:rsidRPr="008973CC">
        <w:rPr>
          <w:rFonts w:ascii="Times New Roman" w:hAnsi="Times New Roman"/>
          <w:b/>
          <w:noProof/>
          <w:color w:val="002060"/>
          <w:sz w:val="24"/>
          <w:szCs w:val="24"/>
        </w:rPr>
        <w:fldChar w:fldCharType="end"/>
      </w:r>
      <w:r w:rsidRPr="008973CC">
        <w:rPr>
          <w:rFonts w:ascii="Times New Roman" w:hAnsi="Times New Roman"/>
          <w:b/>
          <w:noProof/>
          <w:color w:val="002060"/>
          <w:sz w:val="24"/>
          <w:szCs w:val="24"/>
        </w:rPr>
        <w:t>. Центры протонной и ионной терапии: действующие, строящиеся и проектируемые</w:t>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Таким образом, интенсивнее всего высокие технологии предсказуемо осваивают и внедряют развитые страны, при этом большинство центров ориентировано прежде всего на внутренний рынок. В США протонная терапия уже признана и оплачивается многими страховыми компаниями, что несомненно является одним из главных драйверов роста отрасли. По количеству центров протонной терапии на душу населения лидируют и будут лидировать в ближайшем будущем США.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Япония является лидером по развитию ионной терапии – там находится половина действующих и строящихся ионных центров. Следующую позицию занимает Китай. В целом, можно отметить относительно небольшую активность в развитии ионной терапии, что связано, прежде всего, с очень высокой стоимостью ионного ускорителя.</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Рост интереса к протонной терапии связан в том числе и с ростом числа пролеченных пациентов, собранной по ним положительной статистике и распространением осведомленности о существовании и качестве такой терапии среди заболевших.</w:t>
      </w:r>
    </w:p>
    <w:p w:rsidR="008973CC" w:rsidRPr="008973CC" w:rsidRDefault="008973CC" w:rsidP="008973CC">
      <w:pPr>
        <w:spacing w:after="0" w:line="240" w:lineRule="auto"/>
        <w:jc w:val="center"/>
        <w:rPr>
          <w:rFonts w:ascii="Times New Roman" w:hAnsi="Times New Roman"/>
          <w:sz w:val="24"/>
          <w:szCs w:val="24"/>
        </w:rPr>
      </w:pPr>
      <w:r w:rsidRPr="008973CC">
        <w:rPr>
          <w:rFonts w:ascii="Times New Roman" w:hAnsi="Times New Roman"/>
          <w:noProof/>
          <w:sz w:val="24"/>
          <w:szCs w:val="24"/>
        </w:rPr>
        <w:lastRenderedPageBreak/>
        <w:drawing>
          <wp:inline distT="0" distB="0" distL="0" distR="0" wp14:anchorId="2F780D00" wp14:editId="2B978E6B">
            <wp:extent cx="5324475" cy="2838450"/>
            <wp:effectExtent l="0" t="0" r="0" b="0"/>
            <wp:docPr id="43" name="Диаграмма 4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noProof/>
          <w:color w:val="002060"/>
          <w:sz w:val="24"/>
          <w:szCs w:val="24"/>
        </w:rPr>
        <w:t xml:space="preserve">Рис. </w:t>
      </w:r>
      <w:r w:rsidRPr="008973CC">
        <w:rPr>
          <w:rFonts w:ascii="Times New Roman" w:hAnsi="Times New Roman"/>
          <w:b/>
          <w:noProof/>
          <w:color w:val="002060"/>
          <w:sz w:val="24"/>
          <w:szCs w:val="24"/>
        </w:rPr>
        <w:fldChar w:fldCharType="begin"/>
      </w:r>
      <w:r w:rsidRPr="008973CC">
        <w:rPr>
          <w:rFonts w:ascii="Times New Roman" w:hAnsi="Times New Roman"/>
          <w:b/>
          <w:noProof/>
          <w:color w:val="002060"/>
          <w:sz w:val="24"/>
          <w:szCs w:val="24"/>
        </w:rPr>
        <w:instrText xml:space="preserve"> SEQ Рис. \* ARABIC </w:instrText>
      </w:r>
      <w:r w:rsidRPr="008973CC">
        <w:rPr>
          <w:rFonts w:ascii="Times New Roman" w:hAnsi="Times New Roman"/>
          <w:b/>
          <w:noProof/>
          <w:color w:val="002060"/>
          <w:sz w:val="24"/>
          <w:szCs w:val="24"/>
        </w:rPr>
        <w:fldChar w:fldCharType="separate"/>
      </w:r>
      <w:r w:rsidRPr="008973CC">
        <w:rPr>
          <w:rFonts w:ascii="Times New Roman" w:hAnsi="Times New Roman"/>
          <w:b/>
          <w:noProof/>
          <w:color w:val="002060"/>
          <w:sz w:val="24"/>
          <w:szCs w:val="24"/>
        </w:rPr>
        <w:t>16</w:t>
      </w:r>
      <w:r w:rsidRPr="008973CC">
        <w:rPr>
          <w:rFonts w:ascii="Times New Roman" w:hAnsi="Times New Roman"/>
          <w:b/>
          <w:noProof/>
          <w:color w:val="002060"/>
          <w:sz w:val="24"/>
          <w:szCs w:val="24"/>
        </w:rPr>
        <w:fldChar w:fldCharType="end"/>
      </w:r>
      <w:r w:rsidRPr="008973CC">
        <w:rPr>
          <w:rFonts w:ascii="Times New Roman" w:hAnsi="Times New Roman"/>
          <w:b/>
          <w:noProof/>
          <w:color w:val="002060"/>
          <w:sz w:val="24"/>
          <w:szCs w:val="24"/>
        </w:rPr>
        <w:t>. Количество прошедших протонную терапию</w:t>
      </w:r>
      <w:r w:rsidRPr="008973CC">
        <w:rPr>
          <w:rFonts w:ascii="Times New Roman" w:hAnsi="Times New Roman"/>
          <w:b/>
          <w:noProof/>
          <w:color w:val="002060"/>
          <w:sz w:val="24"/>
          <w:szCs w:val="24"/>
          <w:vertAlign w:val="superscript"/>
        </w:rPr>
        <w:footnoteReference w:id="13"/>
      </w:r>
    </w:p>
    <w:p w:rsidR="008973CC" w:rsidRPr="008973CC" w:rsidRDefault="008973CC" w:rsidP="008973CC">
      <w:pPr>
        <w:spacing w:after="0" w:line="240" w:lineRule="auto"/>
        <w:ind w:firstLine="567"/>
        <w:jc w:val="both"/>
        <w:rPr>
          <w:rFonts w:ascii="Times New Roman" w:hAnsi="Times New Roman"/>
          <w:sz w:val="24"/>
          <w:szCs w:val="24"/>
        </w:rPr>
      </w:pP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Несмотря на такое динамичное развитие, рынок протонной терапии пока еще очень мал. Как будет показано ниже, протонные центры имеют, как правило, один ускоритель протонов и от одного до пяти процедурных комнат. Несколько кабин создается для более эффективного использования дорогостоящего ускорителя. В настоящее время, по оценкам PTCOG, в мире работают 128 кабин. К 2018 году их должно стать, согласно заявленным проектам, 223.</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Для сравнения, в 2013 году в мире насчитывалось</w:t>
      </w:r>
      <w:r w:rsidRPr="008973CC">
        <w:rPr>
          <w:rFonts w:ascii="Times New Roman" w:hAnsi="Times New Roman"/>
          <w:sz w:val="24"/>
          <w:szCs w:val="24"/>
          <w:vertAlign w:val="superscript"/>
        </w:rPr>
        <w:footnoteReference w:id="14"/>
      </w:r>
      <w:r w:rsidRPr="008973CC">
        <w:rPr>
          <w:rFonts w:ascii="Times New Roman" w:hAnsi="Times New Roman"/>
          <w:sz w:val="24"/>
          <w:szCs w:val="24"/>
        </w:rPr>
        <w:t xml:space="preserve"> 12 983 процедурных комнат традиционной гамма-электронной терапии. Учитывая, что, по оценкам </w:t>
      </w:r>
      <w:proofErr w:type="spellStart"/>
      <w:r w:rsidRPr="008973CC">
        <w:rPr>
          <w:rFonts w:ascii="Times New Roman" w:hAnsi="Times New Roman"/>
          <w:sz w:val="24"/>
          <w:szCs w:val="24"/>
        </w:rPr>
        <w:t>MEDraysintell</w:t>
      </w:r>
      <w:proofErr w:type="spellEnd"/>
      <w:r w:rsidRPr="008973CC">
        <w:rPr>
          <w:rFonts w:ascii="Times New Roman" w:hAnsi="Times New Roman"/>
          <w:sz w:val="24"/>
          <w:szCs w:val="24"/>
        </w:rPr>
        <w:t>, радиотерапию получают 2,9 млн человек в год, количество получающих протонную терапию ничтожно мало и составляет менее 0,5% от прошедших лучевую терапию. При этом, даже исходя из минимальной оценки нуждающихся в протонной терапии, приведенной в предыдущем разделе, количество таких пациентов должно составить 2,9 млн × 13% = 377 тыс. человек в год. Сейчас протонную терапию получают всего 3,6% от этого количества.</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Количество пациентов, проходящих протонную терапию в одной кабине в год, в среднем составляет 106. Конечно, старые центры пропускают гораздо меньше пациентов, чем современные. Однако и в современных центрах количество пролеченных пациентов на 1 кабину пока составляет в среднем не более 250-300 в год, что объясняется сложностью работы </w:t>
      </w:r>
      <w:proofErr w:type="spellStart"/>
      <w:r w:rsidRPr="008973CC">
        <w:rPr>
          <w:rFonts w:ascii="Times New Roman" w:hAnsi="Times New Roman"/>
          <w:sz w:val="24"/>
          <w:szCs w:val="24"/>
        </w:rPr>
        <w:t>гантри</w:t>
      </w:r>
      <w:proofErr w:type="spellEnd"/>
      <w:r w:rsidRPr="008973CC">
        <w:rPr>
          <w:rFonts w:ascii="Times New Roman" w:hAnsi="Times New Roman"/>
          <w:sz w:val="24"/>
          <w:szCs w:val="24"/>
        </w:rPr>
        <w:t xml:space="preserve">. Производители оборудования считают, что максимальная загрузка одной процедурной может составлять 375-500 пациентов в год. Этот показатель может быть повышен при применении </w:t>
      </w:r>
      <w:proofErr w:type="spellStart"/>
      <w:r w:rsidRPr="008973CC">
        <w:rPr>
          <w:rFonts w:ascii="Times New Roman" w:hAnsi="Times New Roman"/>
          <w:sz w:val="24"/>
          <w:szCs w:val="24"/>
        </w:rPr>
        <w:t>гипофракционирования</w:t>
      </w:r>
      <w:proofErr w:type="spellEnd"/>
      <w:r w:rsidRPr="008973CC">
        <w:rPr>
          <w:rFonts w:ascii="Times New Roman" w:hAnsi="Times New Roman"/>
          <w:sz w:val="24"/>
          <w:szCs w:val="24"/>
        </w:rPr>
        <w:t xml:space="preserve">, т.е. меньшего количества фракций при более высоких дозах за фракцию, что возможно для малых опухолей и более точного воздействия исключительно на злокачественные клетки.  </w:t>
      </w:r>
    </w:p>
    <w:p w:rsidR="008973CC" w:rsidRPr="008973CC" w:rsidRDefault="008973CC" w:rsidP="008973CC">
      <w:pPr>
        <w:spacing w:after="0" w:line="240" w:lineRule="auto"/>
        <w:jc w:val="both"/>
        <w:outlineLvl w:val="2"/>
        <w:rPr>
          <w:rFonts w:ascii="Times New Roman" w:hAnsi="Times New Roman"/>
          <w:sz w:val="24"/>
          <w:szCs w:val="24"/>
        </w:rPr>
      </w:pPr>
      <w:bookmarkStart w:id="12" w:name="_Toc417909487"/>
    </w:p>
    <w:p w:rsidR="008973CC" w:rsidRPr="008973CC" w:rsidRDefault="008973CC" w:rsidP="008973CC">
      <w:pPr>
        <w:spacing w:after="0" w:line="240" w:lineRule="auto"/>
        <w:jc w:val="both"/>
        <w:outlineLvl w:val="2"/>
        <w:rPr>
          <w:rFonts w:ascii="Times New Roman" w:hAnsi="Times New Roman"/>
          <w:b/>
          <w:sz w:val="24"/>
          <w:szCs w:val="24"/>
        </w:rPr>
      </w:pPr>
      <w:r w:rsidRPr="008973CC">
        <w:rPr>
          <w:rFonts w:ascii="Times New Roman" w:hAnsi="Times New Roman"/>
          <w:b/>
          <w:sz w:val="24"/>
          <w:szCs w:val="24"/>
        </w:rPr>
        <w:t>5.2.6.</w:t>
      </w:r>
      <w:r w:rsidRPr="008973CC">
        <w:rPr>
          <w:rFonts w:ascii="Times New Roman" w:hAnsi="Times New Roman"/>
          <w:sz w:val="24"/>
          <w:szCs w:val="24"/>
        </w:rPr>
        <w:t xml:space="preserve"> </w:t>
      </w:r>
      <w:r w:rsidRPr="008973CC">
        <w:rPr>
          <w:rFonts w:ascii="Times New Roman" w:hAnsi="Times New Roman"/>
          <w:b/>
          <w:sz w:val="24"/>
          <w:szCs w:val="24"/>
        </w:rPr>
        <w:t>Лучевая терапия в России</w:t>
      </w:r>
      <w:bookmarkEnd w:id="12"/>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структуре государственного сектора онкологической отрасли России в настоящее время можно выделить три подгруппы:</w:t>
      </w:r>
    </w:p>
    <w:p w:rsidR="008973CC" w:rsidRPr="008973CC" w:rsidRDefault="008973CC" w:rsidP="008973CC">
      <w:pPr>
        <w:pStyle w:val="a3"/>
        <w:numPr>
          <w:ilvl w:val="0"/>
          <w:numId w:val="6"/>
        </w:numPr>
        <w:spacing w:after="0" w:line="240" w:lineRule="auto"/>
        <w:ind w:left="0" w:hanging="357"/>
        <w:contextualSpacing w:val="0"/>
        <w:jc w:val="both"/>
        <w:rPr>
          <w:rFonts w:ascii="Times New Roman" w:hAnsi="Times New Roman"/>
          <w:sz w:val="24"/>
          <w:szCs w:val="24"/>
          <w:lang w:eastAsia="ru-RU"/>
        </w:rPr>
      </w:pPr>
      <w:r w:rsidRPr="008973CC">
        <w:rPr>
          <w:rFonts w:ascii="Times New Roman" w:hAnsi="Times New Roman"/>
          <w:sz w:val="24"/>
          <w:szCs w:val="24"/>
          <w:lang w:eastAsia="ru-RU"/>
        </w:rPr>
        <w:t xml:space="preserve">Ведущие по проблеме НИИ страны – основная по авторитету группа с качеством лечения выше среднего. Удовлетворены своей деятельностью за счет больших потоков больных, направляемых к ним со всей страны. Обладают уникальными технологиями, которые не </w:t>
      </w:r>
      <w:r w:rsidRPr="008973CC">
        <w:rPr>
          <w:rFonts w:ascii="Times New Roman" w:hAnsi="Times New Roman"/>
          <w:sz w:val="24"/>
          <w:szCs w:val="24"/>
          <w:lang w:eastAsia="ru-RU"/>
        </w:rPr>
        <w:lastRenderedPageBreak/>
        <w:t>внедряются широко, за счет чего держится их монопольное привилегированное положение.</w:t>
      </w:r>
    </w:p>
    <w:p w:rsidR="008973CC" w:rsidRPr="008973CC" w:rsidRDefault="008973CC" w:rsidP="008973CC">
      <w:pPr>
        <w:pStyle w:val="a3"/>
        <w:numPr>
          <w:ilvl w:val="0"/>
          <w:numId w:val="6"/>
        </w:numPr>
        <w:spacing w:after="0" w:line="240" w:lineRule="auto"/>
        <w:ind w:left="0" w:hanging="357"/>
        <w:contextualSpacing w:val="0"/>
        <w:jc w:val="both"/>
        <w:rPr>
          <w:rFonts w:ascii="Times New Roman" w:hAnsi="Times New Roman"/>
          <w:sz w:val="24"/>
          <w:szCs w:val="24"/>
          <w:lang w:eastAsia="ru-RU"/>
        </w:rPr>
      </w:pPr>
      <w:r w:rsidRPr="008973CC">
        <w:rPr>
          <w:rFonts w:ascii="Times New Roman" w:hAnsi="Times New Roman"/>
          <w:sz w:val="24"/>
          <w:szCs w:val="24"/>
          <w:lang w:eastAsia="ru-RU"/>
        </w:rPr>
        <w:t xml:space="preserve">Крупные региональные </w:t>
      </w:r>
      <w:proofErr w:type="spellStart"/>
      <w:r w:rsidRPr="008973CC">
        <w:rPr>
          <w:rFonts w:ascii="Times New Roman" w:hAnsi="Times New Roman"/>
          <w:sz w:val="24"/>
          <w:szCs w:val="24"/>
          <w:lang w:eastAsia="ru-RU"/>
        </w:rPr>
        <w:t>онкоцентры</w:t>
      </w:r>
      <w:proofErr w:type="spellEnd"/>
      <w:r w:rsidRPr="008973CC">
        <w:rPr>
          <w:rFonts w:ascii="Times New Roman" w:hAnsi="Times New Roman"/>
          <w:sz w:val="24"/>
          <w:szCs w:val="24"/>
          <w:lang w:eastAsia="ru-RU"/>
        </w:rPr>
        <w:t xml:space="preserve"> в больших городах – обладают более-менее современной базой и финансово поддерживаются местными властями. Через них проходят самые большие потоки пациентов. Они оказывают услуги диагностики и лечения на среднем уровне для всего спектра заболеваний, но зачастую курируются НИИ из первой группы. </w:t>
      </w:r>
    </w:p>
    <w:p w:rsidR="008973CC" w:rsidRPr="008973CC" w:rsidRDefault="008973CC" w:rsidP="008973CC">
      <w:pPr>
        <w:pStyle w:val="a3"/>
        <w:numPr>
          <w:ilvl w:val="0"/>
          <w:numId w:val="6"/>
        </w:numPr>
        <w:spacing w:after="0" w:line="240" w:lineRule="auto"/>
        <w:ind w:left="0" w:hanging="357"/>
        <w:contextualSpacing w:val="0"/>
        <w:jc w:val="both"/>
        <w:rPr>
          <w:rFonts w:ascii="Times New Roman" w:hAnsi="Times New Roman"/>
          <w:sz w:val="24"/>
          <w:szCs w:val="24"/>
          <w:lang w:eastAsia="ru-RU"/>
        </w:rPr>
      </w:pPr>
      <w:r w:rsidRPr="008973CC">
        <w:rPr>
          <w:rFonts w:ascii="Times New Roman" w:hAnsi="Times New Roman"/>
          <w:sz w:val="24"/>
          <w:szCs w:val="24"/>
          <w:lang w:eastAsia="ru-RU"/>
        </w:rPr>
        <w:t>Малые диспансеры в отдаленных регионах – находятся в более бедственном положении по сравнению со второй группой. В простых случаях заболевания оказывают не всегда лучшую помощь (чем ухудшают общую статистику) и направляют пациентов со сложными заболеваниями в центральные клиники НИИ, чем тоже ухудшают процесс лечения, затягивая его.</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ab/>
        <w:t>Из-за продолжающихся реформ в стране ведомственная принадлежность у первых трех групп разная, хотя они пока действуют как единый механизм. Первая группа большей частью относится к Минздраву, но только недавно стала переходить туда из Академии медицинских наук. Остальные в основном относятся к Федеральному медико-биологическому агентству (ФМБА), за исключением немногих филиалов первой группы, и схожи по своей деятельности со специализированными больницами.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Всего в стране существует 143 </w:t>
      </w:r>
      <w:proofErr w:type="spellStart"/>
      <w:r w:rsidRPr="008973CC">
        <w:rPr>
          <w:rFonts w:ascii="Times New Roman" w:hAnsi="Times New Roman"/>
          <w:sz w:val="24"/>
          <w:szCs w:val="24"/>
        </w:rPr>
        <w:t>онкоцентров</w:t>
      </w:r>
      <w:proofErr w:type="spellEnd"/>
      <w:r w:rsidRPr="008973CC">
        <w:rPr>
          <w:rFonts w:ascii="Times New Roman" w:hAnsi="Times New Roman"/>
          <w:sz w:val="24"/>
          <w:szCs w:val="24"/>
        </w:rPr>
        <w:t xml:space="preserve"> и диспансеров, в 9 из них кроме диагностики и терапии занимаются разработкой и внедрением новых методов онкологии (НИИ). Как правило, в каждом субъекте РФ функционирует крупный областной (межрайонный, районный) онкологический центр, имеющий свои филиалы и рентгенодиагностические кабинеты в больницах и клиниках по всему субъекту.</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отрасли имеется 2 головных института. Это – Федеральное государственное бюджетное научное учреждение "Российский онкологический научный центр им. Н. Н. Блохина" Российской академии медицинских наук и Московский научно-исследовательский онкологический институт имени П.А. Герцена Минздрава России. Оба находятся в Москве.</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Медицинский радиологический научный центр им. А.Ф. </w:t>
      </w:r>
      <w:proofErr w:type="spellStart"/>
      <w:r w:rsidRPr="008973CC">
        <w:rPr>
          <w:rFonts w:ascii="Times New Roman" w:hAnsi="Times New Roman"/>
          <w:sz w:val="24"/>
          <w:szCs w:val="24"/>
        </w:rPr>
        <w:t>Цыба</w:t>
      </w:r>
      <w:proofErr w:type="spellEnd"/>
      <w:r w:rsidRPr="008973CC">
        <w:rPr>
          <w:rFonts w:ascii="Times New Roman" w:hAnsi="Times New Roman"/>
          <w:sz w:val="24"/>
          <w:szCs w:val="24"/>
        </w:rPr>
        <w:t xml:space="preserve"> (МРНЦ </w:t>
      </w:r>
      <w:proofErr w:type="spellStart"/>
      <w:r w:rsidRPr="008973CC">
        <w:rPr>
          <w:rFonts w:ascii="Times New Roman" w:hAnsi="Times New Roman"/>
          <w:sz w:val="24"/>
          <w:szCs w:val="24"/>
        </w:rPr>
        <w:t>им.А</w:t>
      </w:r>
      <w:proofErr w:type="spellEnd"/>
      <w:r w:rsidRPr="008973CC">
        <w:rPr>
          <w:rFonts w:ascii="Times New Roman" w:hAnsi="Times New Roman"/>
          <w:sz w:val="24"/>
          <w:szCs w:val="24"/>
        </w:rPr>
        <w:t xml:space="preserve">. Ф. </w:t>
      </w:r>
      <w:proofErr w:type="spellStart"/>
      <w:r w:rsidRPr="008973CC">
        <w:rPr>
          <w:rFonts w:ascii="Times New Roman" w:hAnsi="Times New Roman"/>
          <w:sz w:val="24"/>
          <w:szCs w:val="24"/>
        </w:rPr>
        <w:t>Цыба</w:t>
      </w:r>
      <w:proofErr w:type="spellEnd"/>
      <w:r w:rsidRPr="008973CC">
        <w:rPr>
          <w:rFonts w:ascii="Times New Roman" w:hAnsi="Times New Roman"/>
          <w:sz w:val="24"/>
          <w:szCs w:val="24"/>
        </w:rPr>
        <w:t xml:space="preserve">) – филиал ФГБУ «НМИРЦ» Минздрава России (в 2014 г. МРНЦ вошел в состав объединенного центра), г. Обнинск, является ведущей организацией в стране по проблеме «Медицинская радиология и радиационная медицина», специализирующимся в разработке и применении высокотехнологичных радиологических методов диагностики и терапии больных. Результаты фундаментальных исследований, проведенных здесь, становятся основой новых медицинских методов; они апробируются в клинике, а затем распространяются в другие профильные лечебно-профилактические учреждения (ЛПУ). 50 лет назад в институте была создана инфраструктура для экспериментальных и клинических исследований.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Из центральных НИИ ведущие позиции в радиологии занимают также Федеральное государственное бюджетное учреждение "Российский научный центр </w:t>
      </w:r>
      <w:proofErr w:type="spellStart"/>
      <w:r w:rsidRPr="008973CC">
        <w:rPr>
          <w:rFonts w:ascii="Times New Roman" w:hAnsi="Times New Roman"/>
          <w:sz w:val="24"/>
          <w:szCs w:val="24"/>
        </w:rPr>
        <w:t>рентгенорадиологии</w:t>
      </w:r>
      <w:proofErr w:type="spellEnd"/>
      <w:r w:rsidRPr="008973CC">
        <w:rPr>
          <w:rFonts w:ascii="Times New Roman" w:hAnsi="Times New Roman"/>
          <w:sz w:val="24"/>
          <w:szCs w:val="24"/>
        </w:rPr>
        <w:t>” Минздрава РФ (РНЦРР) и ФГУ «Российский научный центр радиологии и хирургических технологий» Минздрава РФ (РНЦРХТ). Эти центры имеют хорошее оснащение и неплохую репутацию среди пациентов.</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Медицинская радиология</w:t>
      </w:r>
      <w:r w:rsidRPr="008973CC">
        <w:rPr>
          <w:rFonts w:ascii="Times New Roman" w:hAnsi="Times New Roman"/>
          <w:sz w:val="24"/>
          <w:szCs w:val="24"/>
          <w:vertAlign w:val="superscript"/>
        </w:rPr>
        <w:footnoteReference w:id="15"/>
      </w:r>
      <w:r w:rsidRPr="008973CC">
        <w:rPr>
          <w:rFonts w:ascii="Times New Roman" w:hAnsi="Times New Roman"/>
          <w:sz w:val="24"/>
          <w:szCs w:val="24"/>
        </w:rPr>
        <w:t xml:space="preserve"> в России давно находится в состоянии застоя и по техническому оснащению отстает от развитых стран более чем на 30 лет. Более 70% радиологических клиник находится на крайне низком, катастрофическом уровне оснащения, не позволяющем обеспечивать удовлетворительное качество лечения. Количество необходимых для лечения и диагностики аппаратов в десятки раз меньше требуемого. Кроме этого, эффективность использования уже имеющегося </w:t>
      </w:r>
      <w:r w:rsidRPr="008973CC">
        <w:rPr>
          <w:rFonts w:ascii="Times New Roman" w:hAnsi="Times New Roman"/>
          <w:sz w:val="24"/>
          <w:szCs w:val="24"/>
        </w:rPr>
        <w:lastRenderedPageBreak/>
        <w:t xml:space="preserve">радиологического оборудования высокой сложности (а оно, в основном, импортное) крайне низкая. Практически нет серьезных отечественных разработок и производств радиологического терапевтического и диагностического оборудования. Материально-техническая база для разработок и производств радиофармпрепаратов имеется, но требуется ее модернизация до уровня мировых стандартов.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По мнению экспертов, главная причина отставания и неудач в том, что российская медицина к высоким радиологическим технологиям не готова. Не хватает опыта, кадров, финансирования. Сегодня на фоне значительных все более возрастающих вложений в строительство корпусов и закупку оборудования, практически отсутствуют вложения в “мозги”, без которых оборудование и технологии на стыке физики и медицины и создаваться, и хорошо работать не могут. Не хватает соответствующих кадров (главным образом, медицинских физиков, инженеров, медицинских технологов), системы их подготовки, нормативно-правовой базы. Нет средств у государственных клиник для сервисного обслуживания дорогого оборудования и адекватной оплаты высококвалифицированного труда во вредных условиях.</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В настоящее время в традиционной (</w:t>
      </w:r>
      <w:r w:rsidRPr="008973CC">
        <w:rPr>
          <w:rFonts w:ascii="Times New Roman" w:hAnsi="Times New Roman"/>
          <w:b/>
          <w:sz w:val="24"/>
          <w:szCs w:val="24"/>
        </w:rPr>
        <w:t>гамма-лучевой</w:t>
      </w:r>
      <w:r w:rsidRPr="008973CC">
        <w:rPr>
          <w:rFonts w:ascii="Times New Roman" w:hAnsi="Times New Roman"/>
          <w:sz w:val="24"/>
          <w:szCs w:val="24"/>
        </w:rPr>
        <w:t xml:space="preserve">) лучевой терапии в России: </w:t>
      </w:r>
    </w:p>
    <w:p w:rsidR="008973CC" w:rsidRPr="008973CC" w:rsidRDefault="008973CC" w:rsidP="008973CC">
      <w:pPr>
        <w:numPr>
          <w:ilvl w:val="0"/>
          <w:numId w:val="5"/>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 xml:space="preserve">Большинство отделений лучевой терапии имеет очень низкий уровень оснащения, который не способен обеспечить качественное лучевое лечение. </w:t>
      </w:r>
    </w:p>
    <w:p w:rsidR="008973CC" w:rsidRPr="008973CC" w:rsidRDefault="008973CC" w:rsidP="008973CC">
      <w:pPr>
        <w:numPr>
          <w:ilvl w:val="0"/>
          <w:numId w:val="5"/>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Лучевое лечение ежегодно получают только 100-150 тыс. пациентов, т.е.  20-30% онкологических больных вместо нуждающихся в ней 70-75%. Причем лучевую терапию современного уровня получают не более 10% из них, те, кто лечится в лучших отделениях лучевой терапии.</w:t>
      </w:r>
    </w:p>
    <w:p w:rsidR="008973CC" w:rsidRPr="008973CC" w:rsidRDefault="008973CC" w:rsidP="008973CC">
      <w:pPr>
        <w:numPr>
          <w:ilvl w:val="0"/>
          <w:numId w:val="5"/>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 xml:space="preserve">80% радиационно-терапевтического оборудования в России устарело, исчерпало свой ресурс, однако значительная его часть продолжает эксплуатироваться более 30 лет, что существенно превышает допустимые сроки. </w:t>
      </w:r>
    </w:p>
    <w:p w:rsidR="008973CC" w:rsidRPr="008973CC" w:rsidRDefault="008973CC" w:rsidP="008973CC">
      <w:pPr>
        <w:numPr>
          <w:ilvl w:val="0"/>
          <w:numId w:val="5"/>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 xml:space="preserve">Погрешность подведения дозы облучения часто составляет 30% вместо допустимых по международным стандартам 5%. </w:t>
      </w:r>
    </w:p>
    <w:p w:rsidR="008973CC" w:rsidRPr="008973CC" w:rsidRDefault="008973CC" w:rsidP="008973CC">
      <w:pPr>
        <w:numPr>
          <w:ilvl w:val="0"/>
          <w:numId w:val="5"/>
        </w:numPr>
        <w:spacing w:after="0" w:line="240" w:lineRule="auto"/>
        <w:ind w:left="0" w:firstLine="0"/>
        <w:contextualSpacing/>
        <w:jc w:val="both"/>
        <w:rPr>
          <w:rFonts w:ascii="Times New Roman" w:hAnsi="Times New Roman"/>
          <w:sz w:val="24"/>
          <w:szCs w:val="24"/>
        </w:rPr>
      </w:pPr>
      <w:r w:rsidRPr="008973CC">
        <w:rPr>
          <w:rFonts w:ascii="Times New Roman" w:hAnsi="Times New Roman"/>
          <w:sz w:val="24"/>
          <w:szCs w:val="24"/>
        </w:rPr>
        <w:t xml:space="preserve">Число имеющихся в России медицинских ускорителей и медицинских физиков в 10 раз меньше необходимого сегодня. </w:t>
      </w:r>
    </w:p>
    <w:p w:rsidR="008973CC" w:rsidRPr="008973CC" w:rsidRDefault="008973CC" w:rsidP="008973CC">
      <w:pPr>
        <w:spacing w:after="0" w:line="240" w:lineRule="auto"/>
        <w:ind w:firstLine="567"/>
        <w:jc w:val="both"/>
        <w:rPr>
          <w:rFonts w:ascii="Times New Roman" w:hAnsi="Times New Roman"/>
          <w:b/>
          <w:color w:val="002060"/>
          <w:sz w:val="24"/>
          <w:szCs w:val="24"/>
        </w:rPr>
      </w:pPr>
      <w:r w:rsidRPr="008973CC">
        <w:rPr>
          <w:rFonts w:ascii="Times New Roman" w:hAnsi="Times New Roman"/>
          <w:sz w:val="24"/>
          <w:szCs w:val="24"/>
        </w:rPr>
        <w:t xml:space="preserve">В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_Ref412980021 \h  \* MERGEFORMAT </w:instrText>
      </w:r>
      <w:r w:rsidRPr="008973CC">
        <w:rPr>
          <w:rFonts w:ascii="Times New Roman" w:hAnsi="Times New Roman"/>
          <w:sz w:val="24"/>
          <w:szCs w:val="24"/>
        </w:rPr>
      </w:r>
      <w:r w:rsidRPr="008973CC">
        <w:rPr>
          <w:rFonts w:ascii="Times New Roman" w:hAnsi="Times New Roman"/>
          <w:sz w:val="24"/>
          <w:szCs w:val="24"/>
        </w:rPr>
        <w:fldChar w:fldCharType="separate"/>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Табл.</w:t>
      </w:r>
      <w:r w:rsidRPr="008973CC">
        <w:rPr>
          <w:rFonts w:ascii="Times New Roman" w:hAnsi="Times New Roman"/>
          <w:b/>
          <w:noProof/>
          <w:color w:val="002060"/>
          <w:sz w:val="24"/>
          <w:szCs w:val="24"/>
        </w:rPr>
        <w:t xml:space="preserve"> 4</w:t>
      </w:r>
      <w:r w:rsidRPr="008973CC">
        <w:rPr>
          <w:rFonts w:ascii="Times New Roman" w:hAnsi="Times New Roman"/>
          <w:sz w:val="24"/>
          <w:szCs w:val="24"/>
        </w:rPr>
        <w:fldChar w:fldCharType="end"/>
      </w:r>
      <w:r w:rsidRPr="008973CC">
        <w:rPr>
          <w:rFonts w:ascii="Times New Roman" w:hAnsi="Times New Roman"/>
          <w:sz w:val="24"/>
          <w:szCs w:val="24"/>
        </w:rPr>
        <w:t xml:space="preserve"> приведены цифры, характеризующие степень отставания в области радиационной онкологии. </w:t>
      </w:r>
    </w:p>
    <w:p w:rsidR="008973CC" w:rsidRPr="008973CC" w:rsidRDefault="008973CC" w:rsidP="008973CC">
      <w:pPr>
        <w:spacing w:after="0" w:line="240" w:lineRule="auto"/>
        <w:ind w:firstLine="567"/>
        <w:rPr>
          <w:rFonts w:ascii="Times New Roman" w:hAnsi="Times New Roman"/>
          <w:b/>
          <w:color w:val="002060"/>
          <w:sz w:val="24"/>
          <w:szCs w:val="24"/>
        </w:rPr>
      </w:pPr>
      <w:bookmarkStart w:id="13" w:name="_Ref412980021"/>
    </w:p>
    <w:p w:rsidR="008973CC" w:rsidRPr="008973CC" w:rsidRDefault="008973CC" w:rsidP="008973CC">
      <w:pPr>
        <w:spacing w:after="0" w:line="240" w:lineRule="auto"/>
        <w:ind w:firstLine="567"/>
        <w:rPr>
          <w:rFonts w:ascii="Times New Roman" w:hAnsi="Times New Roman"/>
          <w:b/>
          <w:color w:val="002060"/>
          <w:sz w:val="24"/>
          <w:szCs w:val="24"/>
        </w:rPr>
      </w:pPr>
      <w:r w:rsidRPr="008973CC">
        <w:rPr>
          <w:rFonts w:ascii="Times New Roman" w:hAnsi="Times New Roman"/>
          <w:b/>
          <w:color w:val="002060"/>
          <w:sz w:val="24"/>
          <w:szCs w:val="24"/>
        </w:rPr>
        <w:t xml:space="preserve">Табл.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Табл.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4</w:t>
      </w:r>
      <w:r w:rsidRPr="008973CC">
        <w:rPr>
          <w:rFonts w:ascii="Times New Roman" w:hAnsi="Times New Roman"/>
          <w:b/>
          <w:color w:val="002060"/>
          <w:sz w:val="24"/>
          <w:szCs w:val="24"/>
        </w:rPr>
        <w:fldChar w:fldCharType="end"/>
      </w:r>
      <w:bookmarkEnd w:id="13"/>
      <w:r w:rsidRPr="008973CC">
        <w:rPr>
          <w:rFonts w:ascii="Times New Roman" w:hAnsi="Times New Roman"/>
          <w:b/>
          <w:color w:val="002060"/>
          <w:sz w:val="24"/>
          <w:szCs w:val="24"/>
        </w:rPr>
        <w:t>. Количественные показатели на 1 млн населения</w:t>
      </w:r>
    </w:p>
    <w:tbl>
      <w:tblPr>
        <w:tblW w:w="9641" w:type="dxa"/>
        <w:tblBorders>
          <w:top w:val="single" w:sz="4" w:space="0" w:color="4F81BD"/>
          <w:left w:val="single" w:sz="4" w:space="0" w:color="4F81BD"/>
          <w:bottom w:val="single" w:sz="4" w:space="0" w:color="4F81BD"/>
          <w:right w:val="single" w:sz="4" w:space="0" w:color="4F81BD"/>
        </w:tblBorders>
        <w:tblLook w:val="0020" w:firstRow="1" w:lastRow="0" w:firstColumn="0" w:lastColumn="0" w:noHBand="0" w:noVBand="0"/>
      </w:tblPr>
      <w:tblGrid>
        <w:gridCol w:w="5382"/>
        <w:gridCol w:w="1276"/>
        <w:gridCol w:w="1701"/>
        <w:gridCol w:w="1282"/>
      </w:tblGrid>
      <w:tr w:rsidR="008973CC" w:rsidRPr="008973CC" w:rsidTr="00355141">
        <w:trPr>
          <w:tblHeader/>
        </w:trPr>
        <w:tc>
          <w:tcPr>
            <w:tcW w:w="5382"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rPr>
                <w:rFonts w:ascii="Times New Roman" w:hAnsi="Times New Roman"/>
                <w:b/>
                <w:bCs/>
                <w:color w:val="FFFFFF"/>
                <w:sz w:val="24"/>
                <w:szCs w:val="24"/>
              </w:rPr>
            </w:pPr>
          </w:p>
        </w:tc>
        <w:tc>
          <w:tcPr>
            <w:tcW w:w="1276"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Россия</w:t>
            </w:r>
          </w:p>
        </w:tc>
        <w:tc>
          <w:tcPr>
            <w:tcW w:w="1701"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Европа (в среднем)</w:t>
            </w:r>
          </w:p>
        </w:tc>
        <w:tc>
          <w:tcPr>
            <w:tcW w:w="1282"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США</w:t>
            </w:r>
          </w:p>
        </w:tc>
      </w:tr>
      <w:tr w:rsidR="008973CC" w:rsidRPr="008973CC" w:rsidTr="00355141">
        <w:tc>
          <w:tcPr>
            <w:tcW w:w="53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Ускорители</w:t>
            </w:r>
          </w:p>
        </w:tc>
        <w:tc>
          <w:tcPr>
            <w:tcW w:w="1276"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0,7</w:t>
            </w:r>
          </w:p>
        </w:tc>
        <w:tc>
          <w:tcPr>
            <w:tcW w:w="170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5</w:t>
            </w:r>
          </w:p>
        </w:tc>
        <w:tc>
          <w:tcPr>
            <w:tcW w:w="1282"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14</w:t>
            </w:r>
          </w:p>
        </w:tc>
      </w:tr>
      <w:tr w:rsidR="008973CC" w:rsidRPr="008973CC" w:rsidTr="00355141">
        <w:tc>
          <w:tcPr>
            <w:tcW w:w="5382"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Радиационно-терапевтические центры</w:t>
            </w:r>
          </w:p>
        </w:tc>
        <w:tc>
          <w:tcPr>
            <w:tcW w:w="1276"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1</w:t>
            </w:r>
          </w:p>
        </w:tc>
        <w:tc>
          <w:tcPr>
            <w:tcW w:w="1701"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2,5</w:t>
            </w:r>
          </w:p>
        </w:tc>
        <w:tc>
          <w:tcPr>
            <w:tcW w:w="1282"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8</w:t>
            </w:r>
          </w:p>
        </w:tc>
      </w:tr>
      <w:tr w:rsidR="008973CC" w:rsidRPr="008973CC" w:rsidTr="00355141">
        <w:tc>
          <w:tcPr>
            <w:tcW w:w="53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Медицинские физики и дозиметристы</w:t>
            </w:r>
          </w:p>
        </w:tc>
        <w:tc>
          <w:tcPr>
            <w:tcW w:w="1276"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2</w:t>
            </w:r>
          </w:p>
        </w:tc>
        <w:tc>
          <w:tcPr>
            <w:tcW w:w="170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10</w:t>
            </w:r>
          </w:p>
        </w:tc>
        <w:tc>
          <w:tcPr>
            <w:tcW w:w="1282"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33</w:t>
            </w:r>
          </w:p>
        </w:tc>
      </w:tr>
      <w:tr w:rsidR="008973CC" w:rsidRPr="008973CC" w:rsidTr="00355141">
        <w:tc>
          <w:tcPr>
            <w:tcW w:w="5382"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 xml:space="preserve">Радиационные онкологи и </w:t>
            </w:r>
            <w:proofErr w:type="spellStart"/>
            <w:r w:rsidRPr="008973CC">
              <w:rPr>
                <w:rFonts w:ascii="Times New Roman" w:hAnsi="Times New Roman"/>
                <w:sz w:val="24"/>
                <w:szCs w:val="24"/>
              </w:rPr>
              <w:t>радиолучевые</w:t>
            </w:r>
            <w:proofErr w:type="spellEnd"/>
            <w:r w:rsidRPr="008973CC">
              <w:rPr>
                <w:rFonts w:ascii="Times New Roman" w:hAnsi="Times New Roman"/>
                <w:sz w:val="24"/>
                <w:szCs w:val="24"/>
              </w:rPr>
              <w:t xml:space="preserve"> терапевты </w:t>
            </w:r>
          </w:p>
        </w:tc>
        <w:tc>
          <w:tcPr>
            <w:tcW w:w="1276"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8</w:t>
            </w:r>
          </w:p>
        </w:tc>
        <w:tc>
          <w:tcPr>
            <w:tcW w:w="1701"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11</w:t>
            </w:r>
          </w:p>
        </w:tc>
        <w:tc>
          <w:tcPr>
            <w:tcW w:w="1282"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49</w:t>
            </w:r>
          </w:p>
        </w:tc>
      </w:tr>
      <w:tr w:rsidR="008973CC" w:rsidRPr="008973CC" w:rsidTr="00355141">
        <w:tc>
          <w:tcPr>
            <w:tcW w:w="5382"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Радиационные технологи</w:t>
            </w:r>
          </w:p>
        </w:tc>
        <w:tc>
          <w:tcPr>
            <w:tcW w:w="1276"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7</w:t>
            </w:r>
          </w:p>
        </w:tc>
        <w:tc>
          <w:tcPr>
            <w:tcW w:w="1701"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13</w:t>
            </w:r>
          </w:p>
        </w:tc>
        <w:tc>
          <w:tcPr>
            <w:tcW w:w="1282"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17</w:t>
            </w:r>
          </w:p>
        </w:tc>
      </w:tr>
    </w:tbl>
    <w:p w:rsidR="008973CC" w:rsidRPr="008973CC" w:rsidRDefault="008973CC" w:rsidP="008973CC">
      <w:pPr>
        <w:spacing w:after="0" w:line="240" w:lineRule="auto"/>
        <w:ind w:firstLine="567"/>
        <w:jc w:val="both"/>
        <w:rPr>
          <w:rFonts w:ascii="Times New Roman" w:hAnsi="Times New Roman"/>
          <w:b/>
          <w:color w:val="002060"/>
          <w:sz w:val="24"/>
          <w:szCs w:val="24"/>
        </w:rPr>
      </w:pPr>
      <w:r w:rsidRPr="008973CC">
        <w:rPr>
          <w:rFonts w:ascii="Times New Roman" w:hAnsi="Times New Roman"/>
          <w:sz w:val="24"/>
          <w:szCs w:val="24"/>
        </w:rPr>
        <w:t xml:space="preserve">Что касается специальных радиационно-терапевтических аппаратов высокого уровня, то ситуация с наличием в России наиболее распространенных из них отражена в </w:t>
      </w:r>
      <w:r w:rsidRPr="008973CC">
        <w:rPr>
          <w:rFonts w:ascii="Times New Roman" w:hAnsi="Times New Roman"/>
          <w:sz w:val="24"/>
          <w:szCs w:val="24"/>
        </w:rPr>
        <w:fldChar w:fldCharType="begin"/>
      </w:r>
      <w:r w:rsidRPr="008973CC">
        <w:rPr>
          <w:rFonts w:ascii="Times New Roman" w:hAnsi="Times New Roman"/>
          <w:sz w:val="24"/>
          <w:szCs w:val="24"/>
        </w:rPr>
        <w:instrText xml:space="preserve"> REF _Ref412980055 \h  \* MERGEFORMAT </w:instrText>
      </w:r>
      <w:r w:rsidRPr="008973CC">
        <w:rPr>
          <w:rFonts w:ascii="Times New Roman" w:hAnsi="Times New Roman"/>
          <w:sz w:val="24"/>
          <w:szCs w:val="24"/>
        </w:rPr>
      </w:r>
      <w:r w:rsidRPr="008973CC">
        <w:rPr>
          <w:rFonts w:ascii="Times New Roman" w:hAnsi="Times New Roman"/>
          <w:sz w:val="24"/>
          <w:szCs w:val="24"/>
        </w:rPr>
        <w:fldChar w:fldCharType="separate"/>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b/>
          <w:color w:val="002060"/>
          <w:sz w:val="24"/>
          <w:szCs w:val="24"/>
        </w:rPr>
        <w:t>Табл.</w:t>
      </w:r>
      <w:r w:rsidRPr="008973CC">
        <w:rPr>
          <w:rFonts w:ascii="Times New Roman" w:hAnsi="Times New Roman"/>
          <w:b/>
          <w:noProof/>
          <w:color w:val="002060"/>
          <w:sz w:val="24"/>
          <w:szCs w:val="24"/>
        </w:rPr>
        <w:t xml:space="preserve"> 5</w:t>
      </w:r>
      <w:r w:rsidRPr="008973CC">
        <w:rPr>
          <w:rFonts w:ascii="Times New Roman" w:hAnsi="Times New Roman"/>
          <w:sz w:val="24"/>
          <w:szCs w:val="24"/>
        </w:rPr>
        <w:fldChar w:fldCharType="end"/>
      </w:r>
      <w:r w:rsidRPr="008973CC">
        <w:rPr>
          <w:rFonts w:ascii="Times New Roman" w:hAnsi="Times New Roman"/>
          <w:sz w:val="24"/>
          <w:szCs w:val="24"/>
        </w:rPr>
        <w:t>, откуда следует, что страна только начала их приобретать и осваивать.</w:t>
      </w:r>
    </w:p>
    <w:p w:rsidR="008973CC" w:rsidRPr="008973CC" w:rsidRDefault="008973CC" w:rsidP="008973CC">
      <w:pPr>
        <w:spacing w:after="0" w:line="240" w:lineRule="auto"/>
        <w:ind w:firstLine="567"/>
        <w:jc w:val="right"/>
        <w:rPr>
          <w:rFonts w:ascii="Times New Roman" w:hAnsi="Times New Roman"/>
          <w:b/>
          <w:color w:val="002060"/>
          <w:sz w:val="24"/>
          <w:szCs w:val="24"/>
        </w:rPr>
      </w:pPr>
      <w:bookmarkStart w:id="14" w:name="_Ref412980055"/>
    </w:p>
    <w:p w:rsidR="008973CC" w:rsidRPr="008973CC" w:rsidRDefault="008973CC" w:rsidP="008973CC">
      <w:pPr>
        <w:spacing w:after="0" w:line="240" w:lineRule="auto"/>
        <w:ind w:firstLine="567"/>
        <w:rPr>
          <w:rFonts w:ascii="Times New Roman" w:hAnsi="Times New Roman"/>
          <w:b/>
          <w:color w:val="002060"/>
          <w:sz w:val="24"/>
          <w:szCs w:val="24"/>
        </w:rPr>
      </w:pPr>
      <w:r w:rsidRPr="008973CC">
        <w:rPr>
          <w:rFonts w:ascii="Times New Roman" w:hAnsi="Times New Roman"/>
          <w:b/>
          <w:color w:val="002060"/>
          <w:sz w:val="24"/>
          <w:szCs w:val="24"/>
        </w:rPr>
        <w:t xml:space="preserve">Табл. </w:t>
      </w:r>
      <w:r w:rsidRPr="008973CC">
        <w:rPr>
          <w:rFonts w:ascii="Times New Roman" w:hAnsi="Times New Roman"/>
          <w:b/>
          <w:color w:val="002060"/>
          <w:sz w:val="24"/>
          <w:szCs w:val="24"/>
        </w:rPr>
        <w:fldChar w:fldCharType="begin"/>
      </w:r>
      <w:r w:rsidRPr="008973CC">
        <w:rPr>
          <w:rFonts w:ascii="Times New Roman" w:hAnsi="Times New Roman"/>
          <w:b/>
          <w:color w:val="002060"/>
          <w:sz w:val="24"/>
          <w:szCs w:val="24"/>
        </w:rPr>
        <w:instrText xml:space="preserve"> SEQ Табл. \* ARABIC </w:instrText>
      </w:r>
      <w:r w:rsidRPr="008973CC">
        <w:rPr>
          <w:rFonts w:ascii="Times New Roman" w:hAnsi="Times New Roman"/>
          <w:b/>
          <w:color w:val="002060"/>
          <w:sz w:val="24"/>
          <w:szCs w:val="24"/>
        </w:rPr>
        <w:fldChar w:fldCharType="separate"/>
      </w:r>
      <w:r w:rsidRPr="008973CC">
        <w:rPr>
          <w:rFonts w:ascii="Times New Roman" w:hAnsi="Times New Roman"/>
          <w:b/>
          <w:noProof/>
          <w:color w:val="002060"/>
          <w:sz w:val="24"/>
          <w:szCs w:val="24"/>
        </w:rPr>
        <w:t>5</w:t>
      </w:r>
      <w:r w:rsidRPr="008973CC">
        <w:rPr>
          <w:rFonts w:ascii="Times New Roman" w:hAnsi="Times New Roman"/>
          <w:b/>
          <w:color w:val="002060"/>
          <w:sz w:val="24"/>
          <w:szCs w:val="24"/>
        </w:rPr>
        <w:fldChar w:fldCharType="end"/>
      </w:r>
      <w:bookmarkEnd w:id="14"/>
      <w:r w:rsidRPr="008973CC">
        <w:rPr>
          <w:rFonts w:ascii="Times New Roman" w:hAnsi="Times New Roman"/>
          <w:b/>
          <w:color w:val="002060"/>
          <w:sz w:val="24"/>
          <w:szCs w:val="24"/>
        </w:rPr>
        <w:t>. Оснащение специальными радиационно-терапевтическими аппаратами</w:t>
      </w:r>
      <w:r w:rsidRPr="008973CC">
        <w:rPr>
          <w:rFonts w:ascii="Times New Roman" w:hAnsi="Times New Roman"/>
          <w:b/>
          <w:color w:val="002060"/>
          <w:sz w:val="24"/>
          <w:szCs w:val="24"/>
          <w:vertAlign w:val="superscript"/>
        </w:rPr>
        <w:footnoteReference w:id="16"/>
      </w:r>
    </w:p>
    <w:tbl>
      <w:tblPr>
        <w:tblW w:w="9634" w:type="dxa"/>
        <w:tblBorders>
          <w:top w:val="single" w:sz="4" w:space="0" w:color="4F81BD"/>
          <w:left w:val="single" w:sz="4" w:space="0" w:color="4F81BD"/>
          <w:bottom w:val="single" w:sz="4" w:space="0" w:color="4F81BD"/>
          <w:right w:val="single" w:sz="4" w:space="0" w:color="4F81BD"/>
        </w:tblBorders>
        <w:tblLook w:val="0020" w:firstRow="1" w:lastRow="0" w:firstColumn="0" w:lastColumn="0" w:noHBand="0" w:noVBand="0"/>
      </w:tblPr>
      <w:tblGrid>
        <w:gridCol w:w="2405"/>
        <w:gridCol w:w="1807"/>
        <w:gridCol w:w="1807"/>
        <w:gridCol w:w="1807"/>
        <w:gridCol w:w="1808"/>
      </w:tblGrid>
      <w:tr w:rsidR="008973CC" w:rsidRPr="008973CC" w:rsidTr="00355141">
        <w:tc>
          <w:tcPr>
            <w:tcW w:w="2405"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rPr>
                <w:rFonts w:ascii="Times New Roman" w:hAnsi="Times New Roman"/>
                <w:b/>
                <w:bCs/>
                <w:color w:val="FFFFFF"/>
                <w:sz w:val="24"/>
                <w:szCs w:val="24"/>
              </w:rPr>
            </w:pPr>
          </w:p>
        </w:tc>
        <w:tc>
          <w:tcPr>
            <w:tcW w:w="1807"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В мире</w:t>
            </w:r>
          </w:p>
        </w:tc>
        <w:tc>
          <w:tcPr>
            <w:tcW w:w="1807"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США</w:t>
            </w:r>
          </w:p>
        </w:tc>
        <w:tc>
          <w:tcPr>
            <w:tcW w:w="1807" w:type="dxa"/>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Япония</w:t>
            </w:r>
          </w:p>
        </w:tc>
        <w:tc>
          <w:tcPr>
            <w:tcW w:w="1808" w:type="dxa"/>
            <w:tcBorders>
              <w:left w:val="single" w:sz="4" w:space="0" w:color="4F81BD"/>
              <w:right w:val="single" w:sz="4" w:space="0" w:color="4F81BD"/>
            </w:tcBorders>
            <w:shd w:val="clear" w:color="auto" w:fill="4F81BD"/>
            <w:vAlign w:val="center"/>
          </w:tcPr>
          <w:p w:rsidR="008973CC" w:rsidRPr="008973CC" w:rsidRDefault="008973CC" w:rsidP="00355141">
            <w:pPr>
              <w:spacing w:after="0" w:line="240" w:lineRule="auto"/>
              <w:jc w:val="center"/>
              <w:rPr>
                <w:rFonts w:ascii="Times New Roman" w:hAnsi="Times New Roman"/>
                <w:b/>
                <w:bCs/>
                <w:color w:val="FFFFFF"/>
                <w:sz w:val="24"/>
                <w:szCs w:val="24"/>
              </w:rPr>
            </w:pPr>
            <w:r w:rsidRPr="008973CC">
              <w:rPr>
                <w:rFonts w:ascii="Times New Roman" w:hAnsi="Times New Roman"/>
                <w:b/>
                <w:bCs/>
                <w:color w:val="FFFFFF"/>
                <w:sz w:val="24"/>
                <w:szCs w:val="24"/>
              </w:rPr>
              <w:t>Россия</w:t>
            </w:r>
          </w:p>
        </w:tc>
      </w:tr>
      <w:tr w:rsidR="008973CC" w:rsidRPr="008973CC" w:rsidTr="00355141">
        <w:tc>
          <w:tcPr>
            <w:tcW w:w="2405"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r w:rsidRPr="008973CC">
              <w:rPr>
                <w:rFonts w:ascii="Times New Roman" w:hAnsi="Times New Roman"/>
                <w:sz w:val="24"/>
                <w:szCs w:val="24"/>
              </w:rPr>
              <w:t>Гамма-нож</w:t>
            </w:r>
          </w:p>
        </w:tc>
        <w:tc>
          <w:tcPr>
            <w:tcW w:w="1807"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300</w:t>
            </w:r>
          </w:p>
        </w:tc>
        <w:tc>
          <w:tcPr>
            <w:tcW w:w="1807"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&gt;100</w:t>
            </w:r>
          </w:p>
        </w:tc>
        <w:tc>
          <w:tcPr>
            <w:tcW w:w="1807"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&gt;50</w:t>
            </w:r>
          </w:p>
        </w:tc>
        <w:tc>
          <w:tcPr>
            <w:tcW w:w="180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3</w:t>
            </w:r>
          </w:p>
        </w:tc>
      </w:tr>
      <w:tr w:rsidR="008973CC" w:rsidRPr="008973CC" w:rsidTr="00355141">
        <w:tc>
          <w:tcPr>
            <w:tcW w:w="2405"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proofErr w:type="spellStart"/>
            <w:r w:rsidRPr="008973CC">
              <w:rPr>
                <w:rFonts w:ascii="Times New Roman" w:hAnsi="Times New Roman"/>
                <w:sz w:val="24"/>
                <w:szCs w:val="24"/>
              </w:rPr>
              <w:lastRenderedPageBreak/>
              <w:t>Кибер</w:t>
            </w:r>
            <w:proofErr w:type="spellEnd"/>
            <w:r w:rsidRPr="008973CC">
              <w:rPr>
                <w:rFonts w:ascii="Times New Roman" w:hAnsi="Times New Roman"/>
                <w:sz w:val="24"/>
                <w:szCs w:val="24"/>
              </w:rPr>
              <w:t>-нож</w:t>
            </w:r>
          </w:p>
        </w:tc>
        <w:tc>
          <w:tcPr>
            <w:tcW w:w="1807"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&gt;250</w:t>
            </w:r>
          </w:p>
        </w:tc>
        <w:tc>
          <w:tcPr>
            <w:tcW w:w="1807"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115</w:t>
            </w:r>
          </w:p>
        </w:tc>
        <w:tc>
          <w:tcPr>
            <w:tcW w:w="1807" w:type="dxa"/>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30</w:t>
            </w:r>
          </w:p>
        </w:tc>
        <w:tc>
          <w:tcPr>
            <w:tcW w:w="1808" w:type="dxa"/>
            <w:tcBorders>
              <w:left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rPr>
            </w:pPr>
            <w:r w:rsidRPr="008973CC">
              <w:rPr>
                <w:rFonts w:ascii="Times New Roman" w:hAnsi="Times New Roman"/>
                <w:sz w:val="24"/>
                <w:szCs w:val="24"/>
              </w:rPr>
              <w:t>6</w:t>
            </w:r>
          </w:p>
        </w:tc>
      </w:tr>
      <w:tr w:rsidR="008973CC" w:rsidRPr="008973CC" w:rsidTr="00355141">
        <w:tc>
          <w:tcPr>
            <w:tcW w:w="2405"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rPr>
                <w:rFonts w:ascii="Times New Roman" w:hAnsi="Times New Roman"/>
                <w:sz w:val="24"/>
                <w:szCs w:val="24"/>
              </w:rPr>
            </w:pPr>
            <w:proofErr w:type="spellStart"/>
            <w:r w:rsidRPr="008973CC">
              <w:rPr>
                <w:rFonts w:ascii="Times New Roman" w:hAnsi="Times New Roman"/>
                <w:sz w:val="24"/>
                <w:szCs w:val="24"/>
              </w:rPr>
              <w:t>Томотерапия</w:t>
            </w:r>
            <w:proofErr w:type="spellEnd"/>
          </w:p>
        </w:tc>
        <w:tc>
          <w:tcPr>
            <w:tcW w:w="1807"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&gt;250</w:t>
            </w:r>
          </w:p>
        </w:tc>
        <w:tc>
          <w:tcPr>
            <w:tcW w:w="1807"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&gt;160</w:t>
            </w:r>
          </w:p>
        </w:tc>
        <w:tc>
          <w:tcPr>
            <w:tcW w:w="1807" w:type="dxa"/>
            <w:tcBorders>
              <w:top w:val="single" w:sz="4" w:space="0" w:color="4F81BD"/>
              <w:bottom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&gt;15</w:t>
            </w:r>
          </w:p>
        </w:tc>
        <w:tc>
          <w:tcPr>
            <w:tcW w:w="1808" w:type="dxa"/>
            <w:tcBorders>
              <w:top w:val="single" w:sz="4" w:space="0" w:color="4F81BD"/>
              <w:left w:val="single" w:sz="4" w:space="0" w:color="4F81BD"/>
              <w:bottom w:val="single" w:sz="4" w:space="0" w:color="4F81BD"/>
              <w:right w:val="single" w:sz="4" w:space="0" w:color="4F81BD"/>
            </w:tcBorders>
            <w:shd w:val="clear" w:color="auto" w:fill="auto"/>
            <w:vAlign w:val="center"/>
          </w:tcPr>
          <w:p w:rsidR="008973CC" w:rsidRPr="008973CC" w:rsidRDefault="008973CC" w:rsidP="00355141">
            <w:pPr>
              <w:spacing w:after="0" w:line="240" w:lineRule="auto"/>
              <w:jc w:val="center"/>
              <w:rPr>
                <w:rFonts w:ascii="Times New Roman" w:hAnsi="Times New Roman"/>
                <w:sz w:val="24"/>
                <w:szCs w:val="24"/>
                <w:lang w:val="en-US"/>
              </w:rPr>
            </w:pPr>
            <w:r w:rsidRPr="008973CC">
              <w:rPr>
                <w:rFonts w:ascii="Times New Roman" w:hAnsi="Times New Roman"/>
                <w:sz w:val="24"/>
                <w:szCs w:val="24"/>
                <w:lang w:val="en-US"/>
              </w:rPr>
              <w:t>2</w:t>
            </w:r>
          </w:p>
        </w:tc>
      </w:tr>
    </w:tbl>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Кроме того, за последние годы в мире появились новые интересные специальные гамма-терапевтические и ускорительные аппараты, которых в России еще нет. Это американский гамма-терапевтический аппарат “</w:t>
      </w:r>
      <w:proofErr w:type="spellStart"/>
      <w:r w:rsidRPr="008973CC">
        <w:rPr>
          <w:rFonts w:ascii="Times New Roman" w:hAnsi="Times New Roman"/>
          <w:sz w:val="24"/>
          <w:szCs w:val="24"/>
        </w:rPr>
        <w:t>Wiew</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Ray</w:t>
      </w:r>
      <w:proofErr w:type="spellEnd"/>
      <w:r w:rsidRPr="008973CC">
        <w:rPr>
          <w:rFonts w:ascii="Times New Roman" w:hAnsi="Times New Roman"/>
          <w:sz w:val="24"/>
          <w:szCs w:val="24"/>
        </w:rPr>
        <w:t xml:space="preserve">”, объединяющий в пределах одного </w:t>
      </w:r>
      <w:proofErr w:type="spellStart"/>
      <w:r w:rsidRPr="008973CC">
        <w:rPr>
          <w:rFonts w:ascii="Times New Roman" w:hAnsi="Times New Roman"/>
          <w:sz w:val="24"/>
          <w:szCs w:val="24"/>
        </w:rPr>
        <w:t>гантри</w:t>
      </w:r>
      <w:proofErr w:type="spellEnd"/>
      <w:r w:rsidRPr="008973CC">
        <w:rPr>
          <w:rFonts w:ascii="Times New Roman" w:hAnsi="Times New Roman"/>
          <w:sz w:val="24"/>
          <w:szCs w:val="24"/>
        </w:rPr>
        <w:t xml:space="preserve"> три источника </w:t>
      </w:r>
      <w:r w:rsidRPr="008973CC">
        <w:rPr>
          <w:rFonts w:ascii="Times New Roman" w:hAnsi="Times New Roman"/>
          <w:sz w:val="24"/>
          <w:szCs w:val="24"/>
          <w:vertAlign w:val="superscript"/>
        </w:rPr>
        <w:t>60</w:t>
      </w:r>
      <w:r w:rsidRPr="008973CC">
        <w:rPr>
          <w:rFonts w:ascii="Times New Roman" w:hAnsi="Times New Roman"/>
          <w:sz w:val="24"/>
          <w:szCs w:val="24"/>
        </w:rPr>
        <w:t xml:space="preserve">Со с многолепестковыми коллиматорами и работающий под управлением по магнитно-резонансным изображениям, а также роботизированный ускорительный комплекс стереотаксического облучения всего тела VERO, объединяющий в себе самые передовые технологии (SBRT, IMRT, VIMAT, IGRT).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w:t>
      </w:r>
      <w:r w:rsidRPr="008973CC">
        <w:rPr>
          <w:rFonts w:ascii="Times New Roman" w:hAnsi="Times New Roman"/>
          <w:b/>
          <w:sz w:val="24"/>
          <w:szCs w:val="24"/>
        </w:rPr>
        <w:t>протонной</w:t>
      </w:r>
      <w:r w:rsidRPr="008973CC">
        <w:rPr>
          <w:rFonts w:ascii="Times New Roman" w:hAnsi="Times New Roman"/>
          <w:sz w:val="24"/>
          <w:szCs w:val="24"/>
        </w:rPr>
        <w:t xml:space="preserve"> терапии СССР вместе с США и Швецией был одним из пионеров, создав в 60–90-е годы прошлого века первые экспериментальные центры протонной терапии на базе физических научно-исследовательских институтов в Москве (ИТЭФ, лечение начато в 1969 году), в Дубне (ОИЯИ, 1967) и в Гатчине (ЛИЯФ, 1975). Всего в этих центрах к настоящему времени проведено лечение 6 823 пациентов.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ОИЯИ впервые в России была реализована методика трехмерного конформного облучения глубоко залегающих опухолей протонным пучком, при которой максимум формируемого </w:t>
      </w:r>
      <w:proofErr w:type="spellStart"/>
      <w:r w:rsidRPr="008973CC">
        <w:rPr>
          <w:rFonts w:ascii="Times New Roman" w:hAnsi="Times New Roman"/>
          <w:sz w:val="24"/>
          <w:szCs w:val="24"/>
        </w:rPr>
        <w:t>дозного</w:t>
      </w:r>
      <w:proofErr w:type="spellEnd"/>
      <w:r w:rsidRPr="008973CC">
        <w:rPr>
          <w:rFonts w:ascii="Times New Roman" w:hAnsi="Times New Roman"/>
          <w:sz w:val="24"/>
          <w:szCs w:val="24"/>
        </w:rPr>
        <w:t xml:space="preserve"> распределения наиболее точно (до миллиметров) соответствует форме мишени. При этом доза резко спадает за границами мишени, что позволяет проводить облучение ранее недоступных для лучевой терапии локализаций.</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К моменту своего закрытия ИТЭФ являлся одним из крупнейших экспериментальных центров в мире по количеству пролеченных больных – 4300 по итогам 2011 года, что составило 5,6% от всех больных, пролеченных протонами к началу 2012 года.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Сейчас Россия имеет лишь 1 действующий протонный центр – в Дубне (в 1999 г. открыто радиологическое отделение МСЧ №9 г. Дубны). До 2012 года работали и 2 других, но ускоритель в ИТЭФ пострадал во время пожара и был остановлен, а Гатчинский центр протонной терапии закрылся из-за окончания срока лицензии и признания несоответствия параметров установки современным стандартам протонной терапии. Новых центров пока не открыто. Число пациентов, проходящих лечение в Дубне, невелико: за 2014 год таковых было всего 75 человек.</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2010 году ФМБА начал многомиллиардный проект создания Федерального высокотехнологичного центра медицинской радиологии (ФВЦМР) в Димитровграде Ульяновской области. Ядром центра являются 4 кабины протонной терапии с одним циклотроном, которые должны быть оборудованы бельгийской компанией IBA </w:t>
      </w:r>
      <w:proofErr w:type="spellStart"/>
      <w:r w:rsidRPr="008973CC">
        <w:rPr>
          <w:rFonts w:ascii="Times New Roman" w:hAnsi="Times New Roman"/>
          <w:sz w:val="24"/>
          <w:szCs w:val="24"/>
        </w:rPr>
        <w:t>Proton</w:t>
      </w:r>
      <w:proofErr w:type="spellEnd"/>
      <w:r w:rsidRPr="008973CC">
        <w:rPr>
          <w:rFonts w:ascii="Times New Roman" w:hAnsi="Times New Roman"/>
          <w:sz w:val="24"/>
          <w:szCs w:val="24"/>
        </w:rPr>
        <w:t xml:space="preserve"> </w:t>
      </w:r>
      <w:proofErr w:type="spellStart"/>
      <w:r w:rsidRPr="008973CC">
        <w:rPr>
          <w:rFonts w:ascii="Times New Roman" w:hAnsi="Times New Roman"/>
          <w:sz w:val="24"/>
          <w:szCs w:val="24"/>
        </w:rPr>
        <w:t>Therapy</w:t>
      </w:r>
      <w:proofErr w:type="spellEnd"/>
      <w:r w:rsidRPr="008973CC">
        <w:rPr>
          <w:rFonts w:ascii="Times New Roman" w:hAnsi="Times New Roman"/>
          <w:sz w:val="24"/>
          <w:szCs w:val="24"/>
        </w:rPr>
        <w:t xml:space="preserve">; заявлялось также, что будут использованы и разработки российских специалистов. Изначально заявленная стоимость проекта составляла около 14 млрд руб., к 2014 году она увеличилась в два раза. Центр планировалось открыть в 2013 году, но пока запуск не состоялся.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В 2012 году построен протонный центр в Протвино (при </w:t>
      </w:r>
      <w:proofErr w:type="spellStart"/>
      <w:r w:rsidRPr="008973CC">
        <w:rPr>
          <w:rFonts w:ascii="Times New Roman" w:hAnsi="Times New Roman"/>
          <w:sz w:val="24"/>
          <w:szCs w:val="24"/>
        </w:rPr>
        <w:t>Протвинской</w:t>
      </w:r>
      <w:proofErr w:type="spellEnd"/>
      <w:r w:rsidRPr="008973CC">
        <w:rPr>
          <w:rFonts w:ascii="Times New Roman" w:hAnsi="Times New Roman"/>
          <w:sz w:val="24"/>
          <w:szCs w:val="24"/>
        </w:rPr>
        <w:t xml:space="preserve"> городской больнице) с оборудованием полностью отечественной разработки (ЗАО «ПРОТОМ»), однако отсутствие поддержки и реформа здравоохранения с сопутствующей ей неразберихой в вопросах сертификации затянули процесс запуска центра. В настоящее время начаты клинические испытания; запуск планируется в 2015 году. Кроме того, начато строительство аналогичного центра в Обнинске, на базе МРНЦ. </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 xml:space="preserve">Подводя итог оценке опыта протонной терапии, можно констатировать, что если к 1990 году Россия аккумулировала около 30% мирового клинического опыта протонной терапии, что следует считать большим успехом, то к настоящему времени позиции существенно утеряны (менее 8%). Оставшийся в России функционирующий комплекс протонной терапии не выдерживает никакой конкуренции с зарубежными производителями, ни по техническим параметрам, ни по дизайну медицинских кабин. При этом себестоимость облучения на таких физических установках очень высока, что </w:t>
      </w:r>
      <w:r w:rsidRPr="008973CC">
        <w:rPr>
          <w:rFonts w:ascii="Times New Roman" w:hAnsi="Times New Roman"/>
          <w:sz w:val="24"/>
          <w:szCs w:val="24"/>
        </w:rPr>
        <w:lastRenderedPageBreak/>
        <w:t>приводит к ограниченным временным интервалам работы этих установок на медицину и, как следствие, низкой пропускной способности.</w:t>
      </w:r>
    </w:p>
    <w:p w:rsidR="008973CC" w:rsidRPr="008973CC" w:rsidRDefault="008973CC" w:rsidP="008973CC">
      <w:pPr>
        <w:spacing w:after="0" w:line="240" w:lineRule="auto"/>
        <w:ind w:firstLine="567"/>
        <w:jc w:val="both"/>
        <w:rPr>
          <w:rFonts w:ascii="Times New Roman" w:hAnsi="Times New Roman"/>
          <w:sz w:val="24"/>
          <w:szCs w:val="24"/>
        </w:rPr>
      </w:pPr>
      <w:r w:rsidRPr="008973CC">
        <w:rPr>
          <w:rFonts w:ascii="Times New Roman" w:hAnsi="Times New Roman"/>
          <w:sz w:val="24"/>
          <w:szCs w:val="24"/>
        </w:rPr>
        <w:t>Таким образом, за последние четыре десятилетия в России не было введено в строй ни одного центра протонной терапии, тогда как в мире сейчас ежегодно открывается несколько таких центров. Заявленные и начатые проекты буксуют в том числе по административным причинам. В результате протонная терапия в России доступна мизерному количеству больных.</w:t>
      </w:r>
    </w:p>
    <w:p w:rsidR="008973CC" w:rsidRPr="008973CC" w:rsidRDefault="008973CC" w:rsidP="008973CC">
      <w:pPr>
        <w:spacing w:after="0" w:line="240" w:lineRule="auto"/>
        <w:rPr>
          <w:rFonts w:ascii="Times New Roman" w:hAnsi="Times New Roman"/>
          <w:sz w:val="24"/>
          <w:szCs w:val="24"/>
        </w:rPr>
      </w:pPr>
    </w:p>
    <w:p w:rsidR="00ED7839" w:rsidRDefault="009F1114"/>
    <w:sectPr w:rsidR="00ED78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114" w:rsidRDefault="009F1114" w:rsidP="008973CC">
      <w:pPr>
        <w:spacing w:after="0" w:line="240" w:lineRule="auto"/>
      </w:pPr>
      <w:r>
        <w:separator/>
      </w:r>
    </w:p>
  </w:endnote>
  <w:endnote w:type="continuationSeparator" w:id="0">
    <w:p w:rsidR="009F1114" w:rsidRDefault="009F1114" w:rsidP="00897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114" w:rsidRDefault="009F1114" w:rsidP="008973CC">
      <w:pPr>
        <w:spacing w:after="0" w:line="240" w:lineRule="auto"/>
      </w:pPr>
      <w:r>
        <w:separator/>
      </w:r>
    </w:p>
  </w:footnote>
  <w:footnote w:type="continuationSeparator" w:id="0">
    <w:p w:rsidR="009F1114" w:rsidRDefault="009F1114" w:rsidP="008973CC">
      <w:pPr>
        <w:spacing w:after="0" w:line="240" w:lineRule="auto"/>
      </w:pPr>
      <w:r>
        <w:continuationSeparator/>
      </w:r>
    </w:p>
  </w:footnote>
  <w:footnote w:id="1">
    <w:p w:rsidR="008973CC" w:rsidRDefault="008973CC" w:rsidP="008973CC">
      <w:pPr>
        <w:pStyle w:val="a6"/>
      </w:pPr>
      <w:r>
        <w:rPr>
          <w:rStyle w:val="a8"/>
        </w:rPr>
        <w:footnoteRef/>
      </w:r>
      <w:r>
        <w:t xml:space="preserve"> Информационный бюллетень ВОЗ №297, февраль 2015</w:t>
      </w:r>
    </w:p>
  </w:footnote>
  <w:footnote w:id="2">
    <w:p w:rsidR="008973CC" w:rsidRPr="00DD18D8" w:rsidRDefault="008973CC" w:rsidP="008973CC">
      <w:pPr>
        <w:pStyle w:val="a6"/>
      </w:pPr>
      <w:r>
        <w:rPr>
          <w:rStyle w:val="a8"/>
        </w:rPr>
        <w:footnoteRef/>
      </w:r>
      <w:r>
        <w:t xml:space="preserve"> Из отчета </w:t>
      </w:r>
      <w:r w:rsidRPr="00DD18D8">
        <w:t>Международно</w:t>
      </w:r>
      <w:r>
        <w:t>го агентства</w:t>
      </w:r>
      <w:r w:rsidRPr="00DD18D8">
        <w:t xml:space="preserve"> по изучению рака Всемирной организации здравоохранения </w:t>
      </w:r>
      <w:r>
        <w:rPr>
          <w:lang w:val="en-US"/>
        </w:rPr>
        <w:t>GLOBOCAN</w:t>
      </w:r>
      <w:r w:rsidRPr="00DD18D8">
        <w:t xml:space="preserve"> 2012, </w:t>
      </w:r>
      <w:r w:rsidRPr="00DD18D8">
        <w:rPr>
          <w:lang w:val="en-US"/>
        </w:rPr>
        <w:t>http</w:t>
      </w:r>
      <w:r w:rsidRPr="00DD18D8">
        <w:t>://</w:t>
      </w:r>
      <w:proofErr w:type="spellStart"/>
      <w:r w:rsidRPr="00DD18D8">
        <w:rPr>
          <w:lang w:val="en-US"/>
        </w:rPr>
        <w:t>globocan</w:t>
      </w:r>
      <w:proofErr w:type="spellEnd"/>
      <w:r w:rsidRPr="00DD18D8">
        <w:t>.</w:t>
      </w:r>
      <w:proofErr w:type="spellStart"/>
      <w:r w:rsidRPr="00DD18D8">
        <w:rPr>
          <w:lang w:val="en-US"/>
        </w:rPr>
        <w:t>iarc</w:t>
      </w:r>
      <w:proofErr w:type="spellEnd"/>
      <w:r w:rsidRPr="00DD18D8">
        <w:t>.</w:t>
      </w:r>
      <w:proofErr w:type="spellStart"/>
      <w:r w:rsidRPr="00DD18D8">
        <w:rPr>
          <w:lang w:val="en-US"/>
        </w:rPr>
        <w:t>fr</w:t>
      </w:r>
      <w:proofErr w:type="spellEnd"/>
      <w:r w:rsidRPr="00DD18D8">
        <w:t>/</w:t>
      </w:r>
      <w:r w:rsidRPr="00DD18D8">
        <w:rPr>
          <w:lang w:val="en-US"/>
        </w:rPr>
        <w:t>Default</w:t>
      </w:r>
      <w:r w:rsidRPr="00DD18D8">
        <w:t>.</w:t>
      </w:r>
      <w:proofErr w:type="spellStart"/>
      <w:r w:rsidRPr="00DD18D8">
        <w:rPr>
          <w:lang w:val="en-US"/>
        </w:rPr>
        <w:t>aspx</w:t>
      </w:r>
      <w:proofErr w:type="spellEnd"/>
    </w:p>
  </w:footnote>
  <w:footnote w:id="3">
    <w:p w:rsidR="008973CC" w:rsidRDefault="008973CC" w:rsidP="008973CC">
      <w:pPr>
        <w:pStyle w:val="a6"/>
      </w:pPr>
      <w:r>
        <w:rPr>
          <w:rStyle w:val="a8"/>
        </w:rPr>
        <w:footnoteRef/>
      </w:r>
      <w:r>
        <w:t xml:space="preserve"> Источник: </w:t>
      </w:r>
      <w:r>
        <w:rPr>
          <w:lang w:val="en-US"/>
        </w:rPr>
        <w:t>GLOBOCAN</w:t>
      </w:r>
      <w:r w:rsidRPr="00DD18D8">
        <w:t xml:space="preserve"> 2012, </w:t>
      </w:r>
      <w:r w:rsidRPr="00DD18D8">
        <w:rPr>
          <w:lang w:val="en-US"/>
        </w:rPr>
        <w:t>http</w:t>
      </w:r>
      <w:r w:rsidRPr="00DD18D8">
        <w:t>://</w:t>
      </w:r>
      <w:proofErr w:type="spellStart"/>
      <w:r w:rsidRPr="00DD18D8">
        <w:rPr>
          <w:lang w:val="en-US"/>
        </w:rPr>
        <w:t>globocan</w:t>
      </w:r>
      <w:proofErr w:type="spellEnd"/>
      <w:r w:rsidRPr="00DD18D8">
        <w:t>.</w:t>
      </w:r>
      <w:proofErr w:type="spellStart"/>
      <w:r w:rsidRPr="00DD18D8">
        <w:rPr>
          <w:lang w:val="en-US"/>
        </w:rPr>
        <w:t>iarc</w:t>
      </w:r>
      <w:proofErr w:type="spellEnd"/>
      <w:r w:rsidRPr="00DD18D8">
        <w:t>.</w:t>
      </w:r>
      <w:proofErr w:type="spellStart"/>
      <w:r w:rsidRPr="00DD18D8">
        <w:rPr>
          <w:lang w:val="en-US"/>
        </w:rPr>
        <w:t>fr</w:t>
      </w:r>
      <w:proofErr w:type="spellEnd"/>
      <w:r w:rsidRPr="00DD18D8">
        <w:t>/</w:t>
      </w:r>
      <w:r w:rsidRPr="00DD18D8">
        <w:rPr>
          <w:lang w:val="en-US"/>
        </w:rPr>
        <w:t>Default</w:t>
      </w:r>
      <w:r w:rsidRPr="00DD18D8">
        <w:t>.</w:t>
      </w:r>
      <w:proofErr w:type="spellStart"/>
      <w:r w:rsidRPr="00DD18D8">
        <w:rPr>
          <w:lang w:val="en-US"/>
        </w:rPr>
        <w:t>aspx</w:t>
      </w:r>
      <w:proofErr w:type="spellEnd"/>
    </w:p>
  </w:footnote>
  <w:footnote w:id="4">
    <w:p w:rsidR="008973CC" w:rsidRDefault="008973CC" w:rsidP="008973CC">
      <w:pPr>
        <w:pStyle w:val="a6"/>
      </w:pPr>
      <w:r>
        <w:rPr>
          <w:rStyle w:val="a8"/>
        </w:rPr>
        <w:footnoteRef/>
      </w:r>
      <w:r>
        <w:t xml:space="preserve"> Группа Всемирного банка </w:t>
      </w:r>
      <w:r w:rsidRPr="00AE0CE1">
        <w:t>http://www.worldbank.org/eca/russian/</w:t>
      </w:r>
    </w:p>
  </w:footnote>
  <w:footnote w:id="5">
    <w:p w:rsidR="008973CC" w:rsidRDefault="008973CC" w:rsidP="008973CC">
      <w:pPr>
        <w:pStyle w:val="a6"/>
      </w:pPr>
      <w:r>
        <w:rPr>
          <w:rStyle w:val="a8"/>
        </w:rPr>
        <w:footnoteRef/>
      </w:r>
      <w:r>
        <w:t xml:space="preserve"> Мировой рынок здравоохранения </w:t>
      </w:r>
      <w:r w:rsidRPr="007E3B96">
        <w:t>http://www.webeconomy.ru/</w:t>
      </w:r>
    </w:p>
  </w:footnote>
  <w:footnote w:id="6">
    <w:p w:rsidR="008973CC" w:rsidRPr="00330580" w:rsidRDefault="008973CC" w:rsidP="008973CC">
      <w:pPr>
        <w:pStyle w:val="a6"/>
      </w:pPr>
      <w:r>
        <w:rPr>
          <w:rStyle w:val="a8"/>
        </w:rPr>
        <w:footnoteRef/>
      </w:r>
      <w:r>
        <w:t xml:space="preserve"> Ожидаемая продолжительность жизни при рождении по данным Всемирного Банка</w:t>
      </w:r>
    </w:p>
  </w:footnote>
  <w:footnote w:id="7">
    <w:p w:rsidR="008973CC" w:rsidRDefault="008973CC" w:rsidP="008973CC">
      <w:pPr>
        <w:pStyle w:val="a6"/>
      </w:pPr>
      <w:r>
        <w:rPr>
          <w:rStyle w:val="a8"/>
        </w:rPr>
        <w:footnoteRef/>
      </w:r>
      <w:r>
        <w:t xml:space="preserve"> </w:t>
      </w:r>
      <w:r w:rsidRPr="006D18FE">
        <w:t>П</w:t>
      </w:r>
      <w:r>
        <w:t>о данным МНИОИ им. П.А. Герцена</w:t>
      </w:r>
    </w:p>
  </w:footnote>
  <w:footnote w:id="8">
    <w:p w:rsidR="008973CC" w:rsidRPr="005907B3" w:rsidRDefault="008973CC" w:rsidP="008973CC">
      <w:pPr>
        <w:pStyle w:val="a6"/>
      </w:pPr>
      <w:r>
        <w:rPr>
          <w:rStyle w:val="a8"/>
        </w:rPr>
        <w:footnoteRef/>
      </w:r>
      <w:r w:rsidRPr="005907B3">
        <w:t xml:space="preserve"> </w:t>
      </w:r>
      <w:r>
        <w:t>Отчет МНИОИ им. П.А. Герцена «З</w:t>
      </w:r>
      <w:r w:rsidRPr="005907B3">
        <w:t>локачественные новообразования</w:t>
      </w:r>
      <w:r>
        <w:t xml:space="preserve"> </w:t>
      </w:r>
      <w:r w:rsidRPr="005907B3">
        <w:t xml:space="preserve">в </w:t>
      </w:r>
      <w:r>
        <w:t>Р</w:t>
      </w:r>
      <w:r w:rsidRPr="005907B3">
        <w:t>оссии в 2013 году</w:t>
      </w:r>
      <w:r>
        <w:t xml:space="preserve"> (Заболеваемости и смертность)» под редакцией А.Д. </w:t>
      </w:r>
      <w:proofErr w:type="spellStart"/>
      <w:r>
        <w:t>Каприна</w:t>
      </w:r>
      <w:proofErr w:type="spellEnd"/>
      <w:r>
        <w:t xml:space="preserve">, В.В. </w:t>
      </w:r>
      <w:proofErr w:type="spellStart"/>
      <w:r>
        <w:t>Старинского</w:t>
      </w:r>
      <w:proofErr w:type="spellEnd"/>
      <w:r>
        <w:t>, Г.В. Петровой, 2015</w:t>
      </w:r>
    </w:p>
  </w:footnote>
  <w:footnote w:id="9">
    <w:p w:rsidR="008973CC" w:rsidRPr="00A13ECD" w:rsidRDefault="008973CC" w:rsidP="008973CC">
      <w:pPr>
        <w:pStyle w:val="a6"/>
      </w:pPr>
      <w:r>
        <w:rPr>
          <w:rStyle w:val="a8"/>
        </w:rPr>
        <w:footnoteRef/>
      </w:r>
      <w:r>
        <w:t xml:space="preserve"> Стандартизированные показатели</w:t>
      </w:r>
      <w:r w:rsidRPr="00A13ECD">
        <w:t xml:space="preserve"> используются в основном для характеристики длительно текущих заболеваний и заболеваний, поражающих старшие возраста. </w:t>
      </w:r>
      <w:r>
        <w:t xml:space="preserve">Такой показатель скорректирован по возрастному фактору и объективнее определяет частотность заболевания при сравнении разных территорий. </w:t>
      </w:r>
      <w:r w:rsidRPr="00A13ECD">
        <w:t>Для вычисления стандартизованных по возрасту показателей заболеваемости сначала определяются повозрастные показатели (как правило на 100000 населения), которые затем поочередно умножаются на стандарт возрастного состава, деленный на 100 (т. е. в процентах); сумма данных произведений и составит искомый показатель. </w:t>
      </w:r>
    </w:p>
    <w:p w:rsidR="008973CC" w:rsidRDefault="008973CC" w:rsidP="008973CC">
      <w:pPr>
        <w:pStyle w:val="a6"/>
      </w:pPr>
    </w:p>
  </w:footnote>
  <w:footnote w:id="10">
    <w:p w:rsidR="008973CC" w:rsidRDefault="008973CC" w:rsidP="008973CC">
      <w:pPr>
        <w:pStyle w:val="a6"/>
      </w:pPr>
      <w:r>
        <w:rPr>
          <w:rStyle w:val="a8"/>
        </w:rPr>
        <w:footnoteRef/>
      </w:r>
      <w:r>
        <w:t xml:space="preserve"> По данным Федеральной службы государственной статистики</w:t>
      </w:r>
    </w:p>
  </w:footnote>
  <w:footnote w:id="11">
    <w:p w:rsidR="008973CC" w:rsidRDefault="008973CC" w:rsidP="008973CC">
      <w:pPr>
        <w:pStyle w:val="a6"/>
      </w:pPr>
      <w:r>
        <w:rPr>
          <w:rStyle w:val="a8"/>
        </w:rPr>
        <w:footnoteRef/>
      </w:r>
      <w:r>
        <w:t xml:space="preserve"> </w:t>
      </w:r>
      <w:proofErr w:type="spellStart"/>
      <w:r>
        <w:t>Адронная</w:t>
      </w:r>
      <w:proofErr w:type="spellEnd"/>
      <w:r>
        <w:t xml:space="preserve"> терапия – терапия с помощью частиц (протонов, легких и тяжелых ионов и пр.)</w:t>
      </w:r>
    </w:p>
  </w:footnote>
  <w:footnote w:id="12">
    <w:p w:rsidR="008973CC" w:rsidRPr="002A4D87" w:rsidRDefault="008973CC" w:rsidP="008973CC">
      <w:pPr>
        <w:pStyle w:val="a6"/>
        <w:rPr>
          <w:color w:val="0000FF"/>
          <w:u w:val="single"/>
        </w:rPr>
      </w:pPr>
      <w:r>
        <w:rPr>
          <w:rStyle w:val="a8"/>
        </w:rPr>
        <w:footnoteRef/>
      </w:r>
      <w:r>
        <w:t xml:space="preserve"> Источник: </w:t>
      </w:r>
      <w:r>
        <w:rPr>
          <w:lang w:val="en-US"/>
        </w:rPr>
        <w:t>PT</w:t>
      </w:r>
      <w:r>
        <w:t>С</w:t>
      </w:r>
      <w:r>
        <w:rPr>
          <w:lang w:val="en-US"/>
        </w:rPr>
        <w:t>OG</w:t>
      </w:r>
      <w:r w:rsidRPr="00A4615A">
        <w:t xml:space="preserve"> </w:t>
      </w:r>
      <w:hyperlink r:id="rId1" w:history="1">
        <w:r w:rsidRPr="00190906">
          <w:rPr>
            <w:rStyle w:val="a5"/>
            <w:lang w:val="en-US"/>
          </w:rPr>
          <w:t>http</w:t>
        </w:r>
        <w:r w:rsidRPr="00190906">
          <w:rPr>
            <w:rStyle w:val="a5"/>
          </w:rPr>
          <w:t>://</w:t>
        </w:r>
        <w:proofErr w:type="spellStart"/>
        <w:r w:rsidRPr="00190906">
          <w:rPr>
            <w:rStyle w:val="a5"/>
            <w:lang w:val="en-US"/>
          </w:rPr>
          <w:t>ptcog</w:t>
        </w:r>
        <w:proofErr w:type="spellEnd"/>
        <w:r w:rsidRPr="00190906">
          <w:rPr>
            <w:rStyle w:val="a5"/>
          </w:rPr>
          <w:t>.</w:t>
        </w:r>
        <w:proofErr w:type="spellStart"/>
        <w:r w:rsidRPr="00190906">
          <w:rPr>
            <w:rStyle w:val="a5"/>
            <w:lang w:val="en-US"/>
          </w:rPr>
          <w:t>ch</w:t>
        </w:r>
        <w:proofErr w:type="spellEnd"/>
        <w:r w:rsidRPr="00190906">
          <w:rPr>
            <w:rStyle w:val="a5"/>
          </w:rPr>
          <w:t>/</w:t>
        </w:r>
      </w:hyperlink>
      <w:r>
        <w:t>, а также данные о состоянии протонных центров в России</w:t>
      </w:r>
      <w:r w:rsidRPr="00A4615A">
        <w:t xml:space="preserve"> </w:t>
      </w:r>
    </w:p>
  </w:footnote>
  <w:footnote w:id="13">
    <w:p w:rsidR="008973CC" w:rsidRPr="002A4D87" w:rsidRDefault="008973CC" w:rsidP="008973CC">
      <w:pPr>
        <w:pStyle w:val="a6"/>
      </w:pPr>
      <w:r>
        <w:rPr>
          <w:rStyle w:val="a8"/>
        </w:rPr>
        <w:footnoteRef/>
      </w:r>
      <w:r>
        <w:t xml:space="preserve"> Источник: </w:t>
      </w:r>
      <w:r>
        <w:rPr>
          <w:lang w:val="en-US"/>
        </w:rPr>
        <w:t>PTCOG</w:t>
      </w:r>
    </w:p>
  </w:footnote>
  <w:footnote w:id="14">
    <w:p w:rsidR="008973CC" w:rsidRDefault="008973CC" w:rsidP="008973CC">
      <w:pPr>
        <w:pStyle w:val="a6"/>
      </w:pPr>
      <w:r>
        <w:rPr>
          <w:rStyle w:val="a8"/>
        </w:rPr>
        <w:footnoteRef/>
      </w:r>
      <w:r>
        <w:t xml:space="preserve"> Исследование </w:t>
      </w:r>
      <w:proofErr w:type="spellStart"/>
      <w:r w:rsidRPr="006D25D5">
        <w:t>MEDraysintell</w:t>
      </w:r>
      <w:proofErr w:type="spellEnd"/>
    </w:p>
  </w:footnote>
  <w:footnote w:id="15">
    <w:p w:rsidR="008973CC" w:rsidRDefault="008973CC" w:rsidP="008973CC">
      <w:pPr>
        <w:pStyle w:val="a6"/>
      </w:pPr>
      <w:r>
        <w:rPr>
          <w:rStyle w:val="a8"/>
        </w:rPr>
        <w:footnoteRef/>
      </w:r>
      <w:r>
        <w:t xml:space="preserve"> Анализ состояния и Концепция модернизации радиационной онкологии, ядерной медицины и медицинской физики в России. Размещено: </w:t>
      </w:r>
      <w:r w:rsidRPr="002711E7">
        <w:t>http://www.amphr.ru/</w:t>
      </w:r>
      <w:r>
        <w:t xml:space="preserve"> (Ассоциация медицинских физиков России)</w:t>
      </w:r>
    </w:p>
  </w:footnote>
  <w:footnote w:id="16">
    <w:p w:rsidR="008973CC" w:rsidRDefault="008973CC" w:rsidP="008973CC">
      <w:pPr>
        <w:pStyle w:val="a6"/>
      </w:pPr>
      <w:r>
        <w:rPr>
          <w:rStyle w:val="a8"/>
        </w:rPr>
        <w:footnoteRef/>
      </w:r>
      <w:r>
        <w:t xml:space="preserve"> По данным 2013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B98"/>
    <w:multiLevelType w:val="hybridMultilevel"/>
    <w:tmpl w:val="31BA21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26B070B7"/>
    <w:multiLevelType w:val="hybridMultilevel"/>
    <w:tmpl w:val="CD4EDB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3126B21"/>
    <w:multiLevelType w:val="hybridMultilevel"/>
    <w:tmpl w:val="0DB89814"/>
    <w:lvl w:ilvl="0" w:tplc="AEDEF3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5122E15"/>
    <w:multiLevelType w:val="hybridMultilevel"/>
    <w:tmpl w:val="185A9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C1D5E36"/>
    <w:multiLevelType w:val="hybridMultilevel"/>
    <w:tmpl w:val="FA16AE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FDA22AE"/>
    <w:multiLevelType w:val="hybridMultilevel"/>
    <w:tmpl w:val="61BE0B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CC"/>
    <w:rsid w:val="001911C3"/>
    <w:rsid w:val="00297BA2"/>
    <w:rsid w:val="00312740"/>
    <w:rsid w:val="007C7D5E"/>
    <w:rsid w:val="00882FB5"/>
    <w:rsid w:val="008973CC"/>
    <w:rsid w:val="009F1114"/>
    <w:rsid w:val="00B53275"/>
    <w:rsid w:val="00CC284C"/>
    <w:rsid w:val="00D60DEC"/>
    <w:rsid w:val="00D6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3C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ПАРАГРАФ,Абзац списка2"/>
    <w:basedOn w:val="a"/>
    <w:link w:val="a4"/>
    <w:uiPriority w:val="34"/>
    <w:qFormat/>
    <w:rsid w:val="008973CC"/>
    <w:pPr>
      <w:ind w:left="720"/>
      <w:contextualSpacing/>
    </w:pPr>
    <w:rPr>
      <w:lang w:eastAsia="en-US"/>
    </w:rPr>
  </w:style>
  <w:style w:type="character" w:customStyle="1" w:styleId="a4">
    <w:name w:val="Абзац списка Знак"/>
    <w:aliases w:val="Абзац списка основной Знак,ПАРАГРАФ Знак,Абзац списка2 Знак"/>
    <w:basedOn w:val="a0"/>
    <w:link w:val="a3"/>
    <w:uiPriority w:val="34"/>
    <w:locked/>
    <w:rsid w:val="008973CC"/>
    <w:rPr>
      <w:rFonts w:ascii="Calibri" w:eastAsia="Times New Roman" w:hAnsi="Calibri" w:cs="Times New Roman"/>
    </w:rPr>
  </w:style>
  <w:style w:type="character" w:styleId="a5">
    <w:name w:val="Hyperlink"/>
    <w:basedOn w:val="a0"/>
    <w:unhideWhenUsed/>
    <w:rsid w:val="008973CC"/>
    <w:rPr>
      <w:color w:val="0000FF" w:themeColor="hyperlink"/>
      <w:u w:val="single"/>
    </w:rPr>
  </w:style>
  <w:style w:type="paragraph" w:styleId="a6">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
    <w:basedOn w:val="a"/>
    <w:link w:val="a7"/>
    <w:uiPriority w:val="99"/>
    <w:unhideWhenUsed/>
    <w:rsid w:val="008973CC"/>
    <w:pPr>
      <w:spacing w:after="0" w:line="240" w:lineRule="auto"/>
    </w:pPr>
    <w:rPr>
      <w:rFonts w:eastAsia="Calibri"/>
      <w:sz w:val="20"/>
      <w:szCs w:val="20"/>
      <w:lang w:eastAsia="en-US"/>
    </w:rPr>
  </w:style>
  <w:style w:type="character" w:customStyle="1" w:styleId="a7">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0"/>
    <w:link w:val="a6"/>
    <w:uiPriority w:val="99"/>
    <w:rsid w:val="008973CC"/>
    <w:rPr>
      <w:rFonts w:ascii="Calibri" w:eastAsia="Calibri" w:hAnsi="Calibri" w:cs="Times New Roman"/>
      <w:sz w:val="20"/>
      <w:szCs w:val="20"/>
    </w:rPr>
  </w:style>
  <w:style w:type="character" w:styleId="a8">
    <w:name w:val="footnote reference"/>
    <w:uiPriority w:val="99"/>
    <w:rsid w:val="008973CC"/>
    <w:rPr>
      <w:vertAlign w:val="superscript"/>
    </w:rPr>
  </w:style>
  <w:style w:type="paragraph" w:styleId="a9">
    <w:name w:val="Balloon Text"/>
    <w:basedOn w:val="a"/>
    <w:link w:val="aa"/>
    <w:uiPriority w:val="99"/>
    <w:semiHidden/>
    <w:unhideWhenUsed/>
    <w:rsid w:val="008973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973C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3C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ПАРАГРАФ,Абзац списка2"/>
    <w:basedOn w:val="a"/>
    <w:link w:val="a4"/>
    <w:uiPriority w:val="34"/>
    <w:qFormat/>
    <w:rsid w:val="008973CC"/>
    <w:pPr>
      <w:ind w:left="720"/>
      <w:contextualSpacing/>
    </w:pPr>
    <w:rPr>
      <w:lang w:eastAsia="en-US"/>
    </w:rPr>
  </w:style>
  <w:style w:type="character" w:customStyle="1" w:styleId="a4">
    <w:name w:val="Абзац списка Знак"/>
    <w:aliases w:val="Абзац списка основной Знак,ПАРАГРАФ Знак,Абзац списка2 Знак"/>
    <w:basedOn w:val="a0"/>
    <w:link w:val="a3"/>
    <w:uiPriority w:val="34"/>
    <w:locked/>
    <w:rsid w:val="008973CC"/>
    <w:rPr>
      <w:rFonts w:ascii="Calibri" w:eastAsia="Times New Roman" w:hAnsi="Calibri" w:cs="Times New Roman"/>
    </w:rPr>
  </w:style>
  <w:style w:type="character" w:styleId="a5">
    <w:name w:val="Hyperlink"/>
    <w:basedOn w:val="a0"/>
    <w:unhideWhenUsed/>
    <w:rsid w:val="008973CC"/>
    <w:rPr>
      <w:color w:val="0000FF" w:themeColor="hyperlink"/>
      <w:u w:val="single"/>
    </w:rPr>
  </w:style>
  <w:style w:type="paragraph" w:styleId="a6">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
    <w:basedOn w:val="a"/>
    <w:link w:val="a7"/>
    <w:uiPriority w:val="99"/>
    <w:unhideWhenUsed/>
    <w:rsid w:val="008973CC"/>
    <w:pPr>
      <w:spacing w:after="0" w:line="240" w:lineRule="auto"/>
    </w:pPr>
    <w:rPr>
      <w:rFonts w:eastAsia="Calibri"/>
      <w:sz w:val="20"/>
      <w:szCs w:val="20"/>
      <w:lang w:eastAsia="en-US"/>
    </w:rPr>
  </w:style>
  <w:style w:type="character" w:customStyle="1" w:styleId="a7">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0"/>
    <w:link w:val="a6"/>
    <w:uiPriority w:val="99"/>
    <w:rsid w:val="008973CC"/>
    <w:rPr>
      <w:rFonts w:ascii="Calibri" w:eastAsia="Calibri" w:hAnsi="Calibri" w:cs="Times New Roman"/>
      <w:sz w:val="20"/>
      <w:szCs w:val="20"/>
    </w:rPr>
  </w:style>
  <w:style w:type="character" w:styleId="a8">
    <w:name w:val="footnote reference"/>
    <w:uiPriority w:val="99"/>
    <w:rsid w:val="008973CC"/>
    <w:rPr>
      <w:vertAlign w:val="superscript"/>
    </w:rPr>
  </w:style>
  <w:style w:type="paragraph" w:styleId="a9">
    <w:name w:val="Balloon Text"/>
    <w:basedOn w:val="a"/>
    <w:link w:val="aa"/>
    <w:uiPriority w:val="99"/>
    <w:semiHidden/>
    <w:unhideWhenUsed/>
    <w:rsid w:val="008973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973C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4.xml"/><Relationship Id="rId3" Type="http://schemas.microsoft.com/office/2007/relationships/stylesWithEffects" Target="stylesWithEffect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chart" Target="charts/chart1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3.jpeg"/><Relationship Id="rId28" Type="http://schemas.openxmlformats.org/officeDocument/2006/relationships/chart" Target="charts/chart16.xml"/><Relationship Id="rId10" Type="http://schemas.openxmlformats.org/officeDocument/2006/relationships/image" Target="media/image2.png"/><Relationship Id="rId19" Type="http://schemas.openxmlformats.org/officeDocument/2006/relationships/chart" Target="charts/chart10.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tcog.ch/"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3.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14.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5.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17.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Новые случаи заболевания, млн</c:v>
                </c:pt>
              </c:strCache>
            </c:strRef>
          </c:tx>
          <c:spPr>
            <a:solidFill>
              <a:srgbClr val="4F81BD"/>
            </a:solidFill>
            <a:ln w="25342">
              <a:noFill/>
            </a:ln>
          </c:spPr>
          <c:invertIfNegative val="0"/>
          <c:dLbls>
            <c:spPr>
              <a:noFill/>
              <a:ln w="25342">
                <a:noFill/>
              </a:ln>
            </c:spPr>
            <c:txPr>
              <a:bodyPr/>
              <a:lstStyle/>
              <a:p>
                <a:pPr>
                  <a:defRPr sz="898" b="0" i="0" u="none" strike="noStrike" baseline="0">
                    <a:solidFill>
                      <a:srgbClr val="333333"/>
                    </a:solidFill>
                    <a:latin typeface="Calibri"/>
                    <a:ea typeface="Calibri"/>
                    <a:cs typeface="Calibri"/>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2008</c:v>
                </c:pt>
                <c:pt idx="1">
                  <c:v>2012</c:v>
                </c:pt>
                <c:pt idx="2">
                  <c:v>2015</c:v>
                </c:pt>
                <c:pt idx="3">
                  <c:v>2030</c:v>
                </c:pt>
                <c:pt idx="4">
                  <c:v>2035</c:v>
                </c:pt>
              </c:numCache>
            </c:numRef>
          </c:cat>
          <c:val>
            <c:numRef>
              <c:f>Лист1!$B$2:$B$6</c:f>
              <c:numCache>
                <c:formatCode>General</c:formatCode>
                <c:ptCount val="5"/>
                <c:pt idx="0">
                  <c:v>12.7</c:v>
                </c:pt>
                <c:pt idx="1">
                  <c:v>14.1</c:v>
                </c:pt>
                <c:pt idx="2">
                  <c:v>19</c:v>
                </c:pt>
                <c:pt idx="3">
                  <c:v>22</c:v>
                </c:pt>
                <c:pt idx="4">
                  <c:v>24</c:v>
                </c:pt>
              </c:numCache>
            </c:numRef>
          </c:val>
        </c:ser>
        <c:ser>
          <c:idx val="1"/>
          <c:order val="1"/>
          <c:tx>
            <c:strRef>
              <c:f>Лист1!$C$1</c:f>
              <c:strCache>
                <c:ptCount val="1"/>
                <c:pt idx="0">
                  <c:v>Количество смертей, млн</c:v>
                </c:pt>
              </c:strCache>
            </c:strRef>
          </c:tx>
          <c:spPr>
            <a:solidFill>
              <a:srgbClr val="C0504D"/>
            </a:solidFill>
            <a:ln w="25342">
              <a:noFill/>
            </a:ln>
          </c:spPr>
          <c:invertIfNegative val="0"/>
          <c:dLbls>
            <c:spPr>
              <a:noFill/>
              <a:ln w="25342">
                <a:noFill/>
              </a:ln>
            </c:spPr>
            <c:txPr>
              <a:bodyPr/>
              <a:lstStyle/>
              <a:p>
                <a:pPr>
                  <a:defRPr sz="898" b="0" i="0" u="none" strike="noStrike" baseline="0">
                    <a:solidFill>
                      <a:srgbClr val="333333"/>
                    </a:solidFill>
                    <a:latin typeface="Calibri"/>
                    <a:ea typeface="Calibri"/>
                    <a:cs typeface="Calibri"/>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2008</c:v>
                </c:pt>
                <c:pt idx="1">
                  <c:v>2012</c:v>
                </c:pt>
                <c:pt idx="2">
                  <c:v>2015</c:v>
                </c:pt>
                <c:pt idx="3">
                  <c:v>2030</c:v>
                </c:pt>
                <c:pt idx="4">
                  <c:v>2035</c:v>
                </c:pt>
              </c:numCache>
            </c:numRef>
          </c:cat>
          <c:val>
            <c:numRef>
              <c:f>Лист1!$C$2:$C$6</c:f>
              <c:numCache>
                <c:formatCode>General</c:formatCode>
                <c:ptCount val="5"/>
                <c:pt idx="0">
                  <c:v>7.6</c:v>
                </c:pt>
                <c:pt idx="1">
                  <c:v>8.1999999999999993</c:v>
                </c:pt>
              </c:numCache>
            </c:numRef>
          </c:val>
        </c:ser>
        <c:dLbls>
          <c:showLegendKey val="0"/>
          <c:showVal val="0"/>
          <c:showCatName val="0"/>
          <c:showSerName val="0"/>
          <c:showPercent val="0"/>
          <c:showBubbleSize val="0"/>
        </c:dLbls>
        <c:gapWidth val="219"/>
        <c:overlap val="-27"/>
        <c:axId val="697640064"/>
        <c:axId val="697834496"/>
      </c:barChart>
      <c:catAx>
        <c:axId val="697640064"/>
        <c:scaling>
          <c:orientation val="minMax"/>
        </c:scaling>
        <c:delete val="0"/>
        <c:axPos val="b"/>
        <c:numFmt formatCode="General" sourceLinked="1"/>
        <c:majorTickMark val="none"/>
        <c:minorTickMark val="none"/>
        <c:tickLblPos val="nextTo"/>
        <c:spPr>
          <a:noFill/>
          <a:ln w="9504" cap="flat" cmpd="sng" algn="ctr">
            <a:solidFill>
              <a:schemeClr val="tx1">
                <a:lumMod val="15000"/>
                <a:lumOff val="85000"/>
              </a:schemeClr>
            </a:solidFill>
            <a:round/>
          </a:ln>
          <a:effectLst/>
        </c:spPr>
        <c:txPr>
          <a:bodyPr rot="0" vert="horz"/>
          <a:lstStyle/>
          <a:p>
            <a:pPr>
              <a:defRPr sz="898" b="0" i="0" u="none" strike="noStrike" baseline="0">
                <a:solidFill>
                  <a:srgbClr val="333333"/>
                </a:solidFill>
                <a:latin typeface="Calibri"/>
                <a:ea typeface="Calibri"/>
                <a:cs typeface="Calibri"/>
              </a:defRPr>
            </a:pPr>
            <a:endParaRPr lang="ru-RU"/>
          </a:p>
        </c:txPr>
        <c:crossAx val="697834496"/>
        <c:crosses val="autoZero"/>
        <c:auto val="1"/>
        <c:lblAlgn val="ctr"/>
        <c:lblOffset val="100"/>
        <c:noMultiLvlLbl val="0"/>
      </c:catAx>
      <c:valAx>
        <c:axId val="697834496"/>
        <c:scaling>
          <c:orientation val="minMax"/>
        </c:scaling>
        <c:delete val="0"/>
        <c:axPos val="l"/>
        <c:majorGridlines>
          <c:spPr>
            <a:ln w="9504" cap="flat" cmpd="sng" algn="ctr">
              <a:solidFill>
                <a:schemeClr val="tx1">
                  <a:lumMod val="15000"/>
                  <a:lumOff val="85000"/>
                </a:schemeClr>
              </a:solidFill>
              <a:round/>
            </a:ln>
            <a:effectLst/>
          </c:spPr>
        </c:majorGridlines>
        <c:numFmt formatCode="General" sourceLinked="1"/>
        <c:majorTickMark val="none"/>
        <c:minorTickMark val="none"/>
        <c:tickLblPos val="nextTo"/>
        <c:spPr>
          <a:ln w="9504">
            <a:noFill/>
          </a:ln>
        </c:spPr>
        <c:txPr>
          <a:bodyPr rot="0" vert="horz"/>
          <a:lstStyle/>
          <a:p>
            <a:pPr>
              <a:defRPr sz="898" b="0" i="0" u="none" strike="noStrike" baseline="0">
                <a:solidFill>
                  <a:srgbClr val="333333"/>
                </a:solidFill>
                <a:latin typeface="Calibri"/>
                <a:ea typeface="Calibri"/>
                <a:cs typeface="Calibri"/>
              </a:defRPr>
            </a:pPr>
            <a:endParaRPr lang="ru-RU"/>
          </a:p>
        </c:txPr>
        <c:crossAx val="697640064"/>
        <c:crosses val="autoZero"/>
        <c:crossBetween val="between"/>
      </c:valAx>
      <c:spPr>
        <a:noFill/>
        <a:ln w="25357">
          <a:noFill/>
        </a:ln>
      </c:spPr>
    </c:plotArea>
    <c:legend>
      <c:legendPos val="b"/>
      <c:overlay val="0"/>
      <c:spPr>
        <a:noFill/>
        <a:ln w="25342">
          <a:noFill/>
        </a:ln>
      </c:spPr>
      <c:txPr>
        <a:bodyPr/>
        <a:lstStyle/>
        <a:p>
          <a:pPr>
            <a:defRPr sz="824" b="0" i="0" u="none" strike="noStrike" baseline="0">
              <a:solidFill>
                <a:srgbClr val="333333"/>
              </a:solidFill>
              <a:latin typeface="Calibri"/>
              <a:ea typeface="Calibri"/>
              <a:cs typeface="Calibri"/>
            </a:defRPr>
          </a:pPr>
          <a:endParaRPr lang="ru-RU"/>
        </a:p>
      </c:txPr>
    </c:legend>
    <c:plotVisOnly val="1"/>
    <c:dispBlanksAs val="gap"/>
    <c:showDLblsOverMax val="0"/>
  </c:chart>
  <c:spPr>
    <a:solidFill>
      <a:schemeClr val="bg1"/>
    </a:solidFill>
    <a:ln w="9504" cap="flat" cmpd="sng" algn="ctr">
      <a:solidFill>
        <a:schemeClr val="tx1">
          <a:lumMod val="15000"/>
          <a:lumOff val="85000"/>
        </a:schemeClr>
      </a:solidFill>
      <a:round/>
    </a:ln>
    <a:effectLst/>
  </c:spPr>
  <c:txPr>
    <a:bodyPr/>
    <a:lstStyle/>
    <a:p>
      <a:pPr>
        <a:defRPr sz="998"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[demo26.xls]Лист2!$A$11:$A$29</c:f>
              <c:strCache>
                <c:ptCount val="19"/>
                <c:pt idx="0">
                  <c:v>1961-1962</c:v>
                </c:pt>
                <c:pt idx="1">
                  <c:v>1970-1971</c:v>
                </c:pt>
                <c:pt idx="2">
                  <c:v>1980-1981</c:v>
                </c:pt>
                <c:pt idx="3">
                  <c:v>1990</c:v>
                </c:pt>
                <c:pt idx="4">
                  <c:v>1995</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strCache>
            </c:strRef>
          </c:cat>
          <c:val>
            <c:numRef>
              <c:f>[demo26.xls]Лист2!$B$11:$B$29</c:f>
              <c:numCache>
                <c:formatCode>0.00</c:formatCode>
                <c:ptCount val="19"/>
                <c:pt idx="0">
                  <c:v>68.75</c:v>
                </c:pt>
                <c:pt idx="1">
                  <c:v>68.930000000000007</c:v>
                </c:pt>
                <c:pt idx="2">
                  <c:v>67.61</c:v>
                </c:pt>
                <c:pt idx="3">
                  <c:v>69.19</c:v>
                </c:pt>
                <c:pt idx="4">
                  <c:v>64.52</c:v>
                </c:pt>
                <c:pt idx="5">
                  <c:v>65.34</c:v>
                </c:pt>
                <c:pt idx="6">
                  <c:v>65.23</c:v>
                </c:pt>
                <c:pt idx="7">
                  <c:v>64.95</c:v>
                </c:pt>
                <c:pt idx="8">
                  <c:v>64.84</c:v>
                </c:pt>
                <c:pt idx="9">
                  <c:v>65.31</c:v>
                </c:pt>
                <c:pt idx="10">
                  <c:v>65.37</c:v>
                </c:pt>
                <c:pt idx="11">
                  <c:v>66.69</c:v>
                </c:pt>
                <c:pt idx="12">
                  <c:v>67.61</c:v>
                </c:pt>
                <c:pt idx="13">
                  <c:v>67.989999999999995</c:v>
                </c:pt>
                <c:pt idx="14">
                  <c:v>68.78</c:v>
                </c:pt>
                <c:pt idx="15">
                  <c:v>68.94</c:v>
                </c:pt>
                <c:pt idx="16">
                  <c:v>69.83149484708639</c:v>
                </c:pt>
                <c:pt idx="17">
                  <c:v>70.239999999999995</c:v>
                </c:pt>
                <c:pt idx="18">
                  <c:v>70.760000000000005</c:v>
                </c:pt>
              </c:numCache>
            </c:numRef>
          </c:val>
          <c:smooth val="0"/>
        </c:ser>
        <c:dLbls>
          <c:showLegendKey val="0"/>
          <c:showVal val="0"/>
          <c:showCatName val="0"/>
          <c:showSerName val="0"/>
          <c:showPercent val="0"/>
          <c:showBubbleSize val="0"/>
        </c:dLbls>
        <c:marker val="1"/>
        <c:smooth val="0"/>
        <c:axId val="704606976"/>
        <c:axId val="704608896"/>
      </c:lineChart>
      <c:catAx>
        <c:axId val="704606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4608896"/>
        <c:crosses val="autoZero"/>
        <c:auto val="1"/>
        <c:lblAlgn val="ctr"/>
        <c:lblOffset val="100"/>
        <c:noMultiLvlLbl val="0"/>
      </c:catAx>
      <c:valAx>
        <c:axId val="7046088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число лет</a:t>
                </a:r>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460697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Лист1!$B$1</c:f>
              <c:strCache>
                <c:ptCount val="1"/>
                <c:pt idx="0">
                  <c:v>Всего</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dLbl>
              <c:idx val="0"/>
              <c:layout>
                <c:manualLayout>
                  <c:x val="-2.1218890680033321E-17"/>
                  <c:y val="-0.31037519900176419"/>
                </c:manualLayout>
              </c:layout>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2610834301450024"/>
                </c:manualLayout>
              </c:layout>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 val="-2.3148148148148572E-3"/>
                  <c:y val="-0.20348134761843295"/>
                </c:manualLayout>
              </c:layout>
              <c:dLblPos val="ctr"/>
              <c:showLegendKey val="0"/>
              <c:showVal val="1"/>
              <c:showCatName val="0"/>
              <c:showSerName val="0"/>
              <c:showPercent val="0"/>
              <c:showBubbleSize val="0"/>
              <c:extLst>
                <c:ext xmlns:c15="http://schemas.microsoft.com/office/drawing/2012/chart" uri="{CE6537A1-D6FC-4f65-9D91-7224C49458BB}"/>
              </c:extLst>
            </c:dLbl>
            <c:dLbl>
              <c:idx val="3"/>
              <c:layout>
                <c:manualLayout>
                  <c:x val="-4.2437781360066642E-17"/>
                  <c:y val="-0.16224861236607729"/>
                </c:manualLayout>
              </c:layout>
              <c:dLblPos val="ctr"/>
              <c:showLegendKey val="0"/>
              <c:showVal val="1"/>
              <c:showCatName val="0"/>
              <c:showSerName val="0"/>
              <c:showPercent val="0"/>
              <c:showBubbleSize val="0"/>
              <c:extLst>
                <c:ext xmlns:c15="http://schemas.microsoft.com/office/drawing/2012/chart" uri="{CE6537A1-D6FC-4f65-9D91-7224C49458BB}"/>
              </c:extLst>
            </c:dLbl>
            <c:dLbl>
              <c:idx val="4"/>
              <c:layout>
                <c:manualLayout>
                  <c:x val="0"/>
                  <c:y val="-0.22737145561722819"/>
                </c:manualLayout>
              </c:layout>
              <c:dLblPos val="ctr"/>
              <c:showLegendKey val="0"/>
              <c:showVal val="1"/>
              <c:showCatName val="0"/>
              <c:showSerName val="0"/>
              <c:showPercent val="0"/>
              <c:showBubbleSize val="0"/>
              <c:extLst>
                <c:ext xmlns:c15="http://schemas.microsoft.com/office/drawing/2012/chart" uri="{CE6537A1-D6FC-4f65-9D91-7224C49458BB}"/>
              </c:extLst>
            </c:dLbl>
            <c:dLbl>
              <c:idx val="5"/>
              <c:layout>
                <c:manualLayout>
                  <c:x val="0"/>
                  <c:y val="-0.24979863172841099"/>
                </c:manualLayout>
              </c:layout>
              <c:dLblPos val="ctr"/>
              <c:showLegendKey val="0"/>
              <c:showVal val="1"/>
              <c:showCatName val="0"/>
              <c:showSerName val="0"/>
              <c:showPercent val="0"/>
              <c:showBubbleSize val="0"/>
              <c:extLst>
                <c:ext xmlns:c15="http://schemas.microsoft.com/office/drawing/2012/chart" uri="{CE6537A1-D6FC-4f65-9D91-7224C49458BB}"/>
              </c:extLst>
            </c:dLbl>
            <c:dLbl>
              <c:idx val="6"/>
              <c:layout>
                <c:manualLayout>
                  <c:x val="0"/>
                  <c:y val="-0.39517662751172494"/>
                </c:manualLayout>
              </c:layout>
              <c:dLblPos val="ctr"/>
              <c:showLegendKey val="0"/>
              <c:showVal val="1"/>
              <c:showCatName val="0"/>
              <c:showSerName val="0"/>
              <c:showPercent val="0"/>
              <c:showBubbleSize val="0"/>
              <c:extLst>
                <c:ext xmlns:c15="http://schemas.microsoft.com/office/drawing/2012/chart" uri="{CE6537A1-D6FC-4f65-9D91-7224C49458BB}"/>
              </c:extLst>
            </c:dLbl>
            <c:dLbl>
              <c:idx val="7"/>
              <c:layout>
                <c:manualLayout>
                  <c:x val="-4.6296296296296294E-3"/>
                  <c:y val="-0.37704788950561507"/>
                </c:manualLayout>
              </c:layout>
              <c:dLblPos val="ctr"/>
              <c:showLegendKey val="0"/>
              <c:showVal val="1"/>
              <c:showCatName val="0"/>
              <c:showSerName val="0"/>
              <c:showPercent val="0"/>
              <c:showBubbleSize val="0"/>
              <c:extLst>
                <c:ext xmlns:c15="http://schemas.microsoft.com/office/drawing/2012/chart" uri="{CE6537A1-D6FC-4f65-9D91-7224C49458BB}"/>
              </c:extLst>
            </c:dLbl>
            <c:dLbl>
              <c:idx val="8"/>
              <c:layout>
                <c:manualLayout>
                  <c:x val="-2.3148148148147301E-3"/>
                  <c:y val="-0.35070134675788478"/>
                </c:manualLayout>
              </c:layout>
              <c:dLblPos val="ctr"/>
              <c:showLegendKey val="0"/>
              <c:showVal val="1"/>
              <c:showCatName val="0"/>
              <c:showSerName val="0"/>
              <c:showPercent val="0"/>
              <c:showBubbleSize val="0"/>
              <c:extLst>
                <c:ext xmlns:c15="http://schemas.microsoft.com/office/drawing/2012/chart" uri="{CE6537A1-D6FC-4f65-9D91-7224C49458BB}"/>
              </c:extLst>
            </c:dLbl>
            <c:dLbl>
              <c:idx val="9"/>
              <c:layout>
                <c:manualLayout>
                  <c:x val="-2.3148148148148147E-3"/>
                  <c:y val="-0.29816359020696181"/>
                </c:manualLayout>
              </c:layout>
              <c:dLblPos val="ctr"/>
              <c:showLegendKey val="0"/>
              <c:showVal val="1"/>
              <c:showCatName val="0"/>
              <c:showSerName val="0"/>
              <c:showPercent val="0"/>
              <c:showBubbleSize val="0"/>
              <c:extLst>
                <c:ext xmlns:c15="http://schemas.microsoft.com/office/drawing/2012/chart" uri="{CE6537A1-D6FC-4f65-9D91-7224C49458BB}"/>
              </c:extLst>
            </c:dLbl>
            <c:dLbl>
              <c:idx val="10"/>
              <c:layout>
                <c:manualLayout>
                  <c:x val="-2.3148148148148147E-3"/>
                  <c:y val="-0.3305016995826342"/>
                </c:manualLayout>
              </c:layout>
              <c:dLblPos val="ctr"/>
              <c:showLegendKey val="0"/>
              <c:showVal val="1"/>
              <c:showCatName val="0"/>
              <c:showSerName val="0"/>
              <c:showPercent val="0"/>
              <c:showBubbleSize val="0"/>
              <c:extLst>
                <c:ext xmlns:c15="http://schemas.microsoft.com/office/drawing/2012/chart" uri="{CE6537A1-D6FC-4f65-9D91-7224C49458BB}"/>
              </c:extLst>
            </c:dLbl>
            <c:numFmt formatCode="#,##0" sourceLinked="0"/>
            <c:spPr>
              <a:noFill/>
              <a:ln w="25342">
                <a:noFill/>
              </a:ln>
            </c:spPr>
            <c:txPr>
              <a:bodyPr/>
              <a:lstStyle/>
              <a:p>
                <a:pPr>
                  <a:defRPr sz="898" b="0" i="0" u="none" strike="noStrike" baseline="0">
                    <a:solidFill>
                      <a:srgbClr val="333333"/>
                    </a:solidFill>
                    <a:latin typeface="Calibri"/>
                    <a:ea typeface="Calibri"/>
                    <a:cs typeface="Calibri"/>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Лист1!$B$2:$B$12</c:f>
              <c:numCache>
                <c:formatCode>General</c:formatCode>
                <c:ptCount val="11"/>
                <c:pt idx="0">
                  <c:v>288219</c:v>
                </c:pt>
                <c:pt idx="1">
                  <c:v>287002</c:v>
                </c:pt>
                <c:pt idx="2">
                  <c:v>284830</c:v>
                </c:pt>
                <c:pt idx="3">
                  <c:v>283732</c:v>
                </c:pt>
                <c:pt idx="4">
                  <c:v>285921</c:v>
                </c:pt>
                <c:pt idx="5">
                  <c:v>286628</c:v>
                </c:pt>
                <c:pt idx="6">
                  <c:v>290737</c:v>
                </c:pt>
                <c:pt idx="7">
                  <c:v>290136</c:v>
                </c:pt>
                <c:pt idx="8">
                  <c:v>289535</c:v>
                </c:pt>
                <c:pt idx="9">
                  <c:v>287789</c:v>
                </c:pt>
                <c:pt idx="10">
                  <c:v>288636</c:v>
                </c:pt>
              </c:numCache>
            </c:numRef>
          </c:val>
        </c:ser>
        <c:dLbls>
          <c:showLegendKey val="0"/>
          <c:showVal val="0"/>
          <c:showCatName val="0"/>
          <c:showSerName val="0"/>
          <c:showPercent val="0"/>
          <c:showBubbleSize val="0"/>
        </c:dLbls>
        <c:gapWidth val="150"/>
        <c:overlap val="100"/>
        <c:axId val="705051264"/>
        <c:axId val="705085824"/>
      </c:barChart>
      <c:catAx>
        <c:axId val="705051264"/>
        <c:scaling>
          <c:orientation val="minMax"/>
        </c:scaling>
        <c:delete val="0"/>
        <c:axPos val="b"/>
        <c:numFmt formatCode="General" sourceLinked="1"/>
        <c:majorTickMark val="none"/>
        <c:minorTickMark val="none"/>
        <c:tickLblPos val="nextTo"/>
        <c:spPr>
          <a:noFill/>
          <a:ln w="19006" cap="flat" cmpd="sng" algn="ctr">
            <a:solidFill>
              <a:schemeClr val="tx1">
                <a:lumMod val="25000"/>
                <a:lumOff val="75000"/>
              </a:schemeClr>
            </a:solidFill>
            <a:round/>
          </a:ln>
          <a:effectLst/>
        </c:spPr>
        <c:txPr>
          <a:bodyPr rot="0" vert="horz"/>
          <a:lstStyle/>
          <a:p>
            <a:pPr>
              <a:defRPr sz="898" b="0" i="0" u="none" strike="noStrike" baseline="0">
                <a:solidFill>
                  <a:srgbClr val="333333"/>
                </a:solidFill>
                <a:latin typeface="Calibri"/>
                <a:ea typeface="Calibri"/>
                <a:cs typeface="Calibri"/>
              </a:defRPr>
            </a:pPr>
            <a:endParaRPr lang="ru-RU"/>
          </a:p>
        </c:txPr>
        <c:crossAx val="705085824"/>
        <c:crosses val="autoZero"/>
        <c:auto val="1"/>
        <c:lblAlgn val="ctr"/>
        <c:lblOffset val="100"/>
        <c:noMultiLvlLbl val="0"/>
      </c:catAx>
      <c:valAx>
        <c:axId val="705085824"/>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ln w="9504">
            <a:noFill/>
          </a:ln>
        </c:spPr>
        <c:txPr>
          <a:bodyPr rot="0" vert="horz"/>
          <a:lstStyle/>
          <a:p>
            <a:pPr>
              <a:defRPr sz="898" b="0" i="0" u="none" strike="noStrike" baseline="0">
                <a:solidFill>
                  <a:srgbClr val="333333"/>
                </a:solidFill>
                <a:latin typeface="Calibri"/>
                <a:ea typeface="Calibri"/>
                <a:cs typeface="Calibri"/>
              </a:defRPr>
            </a:pPr>
            <a:endParaRPr lang="ru-RU"/>
          </a:p>
        </c:txPr>
        <c:crossAx val="705051264"/>
        <c:crosses val="autoZero"/>
        <c:crossBetween val="between"/>
      </c:valAx>
      <c:spPr>
        <a:noFill/>
        <a:ln w="25357">
          <a:noFill/>
        </a:ln>
      </c:spPr>
    </c:plotArea>
    <c:plotVisOnly val="1"/>
    <c:dispBlanksAs val="gap"/>
    <c:showDLblsOverMax val="0"/>
  </c:chart>
  <c:spPr>
    <a:solidFill>
      <a:schemeClr val="bg1"/>
    </a:solidFill>
    <a:ln w="9504" cap="flat" cmpd="sng" algn="ctr">
      <a:solidFill>
        <a:schemeClr val="tx1">
          <a:lumMod val="15000"/>
          <a:lumOff val="85000"/>
        </a:schemeClr>
      </a:solidFill>
      <a:round/>
    </a:ln>
    <a:effectLst/>
  </c:spPr>
  <c:txPr>
    <a:bodyPr/>
    <a:lstStyle/>
    <a:p>
      <a:pPr>
        <a:defRPr sz="898"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Лист1!$B$1</c:f>
              <c:strCache>
                <c:ptCount val="1"/>
                <c:pt idx="0">
                  <c:v>Всего</c:v>
                </c:pt>
              </c:strCache>
            </c:strRef>
          </c:tx>
          <c:spPr>
            <a:pattFill prst="narVert">
              <a:fgClr>
                <a:schemeClr val="accent1"/>
              </a:fgClr>
              <a:bgClr>
                <a:schemeClr val="accent1">
                  <a:lumMod val="20000"/>
                  <a:lumOff val="80000"/>
                </a:schemeClr>
              </a:bgClr>
            </a:pattFill>
            <a:ln>
              <a:noFill/>
            </a:ln>
            <a:effectLst>
              <a:innerShdw blurRad="114300">
                <a:schemeClr val="accent1"/>
              </a:innerShdw>
            </a:effectLst>
          </c:spPr>
          <c:invertIfNegative val="0"/>
          <c:dLbls>
            <c:numFmt formatCode="0.0%" sourceLinked="0"/>
            <c:spPr>
              <a:noFill/>
              <a:ln w="25395">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Лист1!$A$2:$A$7</c:f>
              <c:numCache>
                <c:formatCode>General</c:formatCode>
                <c:ptCount val="6"/>
                <c:pt idx="0">
                  <c:v>2003</c:v>
                </c:pt>
                <c:pt idx="1">
                  <c:v>2005</c:v>
                </c:pt>
                <c:pt idx="2">
                  <c:v>2007</c:v>
                </c:pt>
                <c:pt idx="3">
                  <c:v>2009</c:v>
                </c:pt>
                <c:pt idx="4">
                  <c:v>2011</c:v>
                </c:pt>
                <c:pt idx="5">
                  <c:v>2013</c:v>
                </c:pt>
              </c:numCache>
            </c:numRef>
          </c:cat>
          <c:val>
            <c:numRef>
              <c:f>Лист1!$B$2:$B$7</c:f>
              <c:numCache>
                <c:formatCode>0.0%</c:formatCode>
                <c:ptCount val="6"/>
                <c:pt idx="0">
                  <c:v>0.63292670875651935</c:v>
                </c:pt>
                <c:pt idx="1">
                  <c:v>0.60706103006212764</c:v>
                </c:pt>
                <c:pt idx="2">
                  <c:v>0.58905780336102942</c:v>
                </c:pt>
                <c:pt idx="3">
                  <c:v>0.57574533392742211</c:v>
                </c:pt>
                <c:pt idx="4">
                  <c:v>0.55422943664937496</c:v>
                </c:pt>
                <c:pt idx="5">
                  <c:v>0.53861355099116048</c:v>
                </c:pt>
              </c:numCache>
            </c:numRef>
          </c:val>
        </c:ser>
        <c:ser>
          <c:idx val="1"/>
          <c:order val="1"/>
          <c:tx>
            <c:strRef>
              <c:f>Лист1!$C$1</c:f>
              <c:strCache>
                <c:ptCount val="1"/>
                <c:pt idx="0">
                  <c:v>Мужчины</c:v>
                </c:pt>
              </c:strCache>
            </c:strRef>
          </c:tx>
          <c:spPr>
            <a:pattFill prst="narVert">
              <a:fgClr>
                <a:schemeClr val="accent2"/>
              </a:fgClr>
              <a:bgClr>
                <a:schemeClr val="accent2">
                  <a:lumMod val="20000"/>
                  <a:lumOff val="80000"/>
                </a:schemeClr>
              </a:bgClr>
            </a:pattFill>
            <a:ln>
              <a:noFill/>
            </a:ln>
            <a:effectLst>
              <a:innerShdw blurRad="114300">
                <a:schemeClr val="accent2"/>
              </a:innerShdw>
            </a:effectLst>
          </c:spPr>
          <c:invertIfNegative val="0"/>
          <c:dLbls>
            <c:spPr>
              <a:noFill/>
              <a:ln w="25395">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Лист1!$A$2:$A$7</c:f>
              <c:numCache>
                <c:formatCode>General</c:formatCode>
                <c:ptCount val="6"/>
                <c:pt idx="0">
                  <c:v>2003</c:v>
                </c:pt>
                <c:pt idx="1">
                  <c:v>2005</c:v>
                </c:pt>
                <c:pt idx="2">
                  <c:v>2007</c:v>
                </c:pt>
                <c:pt idx="3">
                  <c:v>2009</c:v>
                </c:pt>
                <c:pt idx="4">
                  <c:v>2011</c:v>
                </c:pt>
                <c:pt idx="5">
                  <c:v>2013</c:v>
                </c:pt>
              </c:numCache>
            </c:numRef>
          </c:cat>
          <c:val>
            <c:numRef>
              <c:f>Лист1!$C$2:$C$7</c:f>
              <c:numCache>
                <c:formatCode>0.0%</c:formatCode>
                <c:ptCount val="6"/>
                <c:pt idx="0">
                  <c:v>0.72802397258690299</c:v>
                </c:pt>
                <c:pt idx="1">
                  <c:v>0.70476007905318749</c:v>
                </c:pt>
                <c:pt idx="2">
                  <c:v>0.68020459408321687</c:v>
                </c:pt>
                <c:pt idx="3">
                  <c:v>0.66206139697906785</c:v>
                </c:pt>
                <c:pt idx="4">
                  <c:v>0.64505408005597509</c:v>
                </c:pt>
                <c:pt idx="5">
                  <c:v>0.62675585284280932</c:v>
                </c:pt>
              </c:numCache>
            </c:numRef>
          </c:val>
        </c:ser>
        <c:ser>
          <c:idx val="2"/>
          <c:order val="2"/>
          <c:tx>
            <c:strRef>
              <c:f>Лист1!$D$1</c:f>
              <c:strCache>
                <c:ptCount val="1"/>
                <c:pt idx="0">
                  <c:v>Женщины</c:v>
                </c:pt>
              </c:strCache>
            </c:strRef>
          </c:tx>
          <c:spPr>
            <a:pattFill prst="narVert">
              <a:fgClr>
                <a:schemeClr val="accent3"/>
              </a:fgClr>
              <a:bgClr>
                <a:schemeClr val="accent3">
                  <a:lumMod val="20000"/>
                  <a:lumOff val="80000"/>
                </a:schemeClr>
              </a:bgClr>
            </a:pattFill>
            <a:ln>
              <a:noFill/>
            </a:ln>
            <a:effectLst>
              <a:innerShdw blurRad="114300">
                <a:schemeClr val="accent3"/>
              </a:innerShdw>
            </a:effectLst>
          </c:spPr>
          <c:invertIfNegative val="0"/>
          <c:dLbls>
            <c:spPr>
              <a:noFill/>
              <a:ln w="25395">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Лист1!$A$2:$A$7</c:f>
              <c:numCache>
                <c:formatCode>General</c:formatCode>
                <c:ptCount val="6"/>
                <c:pt idx="0">
                  <c:v>2003</c:v>
                </c:pt>
                <c:pt idx="1">
                  <c:v>2005</c:v>
                </c:pt>
                <c:pt idx="2">
                  <c:v>2007</c:v>
                </c:pt>
                <c:pt idx="3">
                  <c:v>2009</c:v>
                </c:pt>
                <c:pt idx="4">
                  <c:v>2011</c:v>
                </c:pt>
                <c:pt idx="5">
                  <c:v>2013</c:v>
                </c:pt>
              </c:numCache>
            </c:numRef>
          </c:cat>
          <c:val>
            <c:numRef>
              <c:f>Лист1!$D$2:$D$7</c:f>
              <c:numCache>
                <c:formatCode>0.0%</c:formatCode>
                <c:ptCount val="6"/>
                <c:pt idx="0">
                  <c:v>0.54692884145729481</c:v>
                </c:pt>
                <c:pt idx="1">
                  <c:v>0.52147523810285401</c:v>
                </c:pt>
                <c:pt idx="2">
                  <c:v>0.5095087254951135</c:v>
                </c:pt>
                <c:pt idx="3">
                  <c:v>0.5005557984600677</c:v>
                </c:pt>
                <c:pt idx="4">
                  <c:v>0.4769804075762567</c:v>
                </c:pt>
                <c:pt idx="5">
                  <c:v>0.46427502605716409</c:v>
                </c:pt>
              </c:numCache>
            </c:numRef>
          </c:val>
        </c:ser>
        <c:dLbls>
          <c:showLegendKey val="0"/>
          <c:showVal val="0"/>
          <c:showCatName val="0"/>
          <c:showSerName val="0"/>
          <c:showPercent val="0"/>
          <c:showBubbleSize val="0"/>
        </c:dLbls>
        <c:gapWidth val="227"/>
        <c:overlap val="-48"/>
        <c:axId val="705263872"/>
        <c:axId val="705286144"/>
      </c:barChart>
      <c:catAx>
        <c:axId val="705263872"/>
        <c:scaling>
          <c:orientation val="minMax"/>
        </c:scaling>
        <c:delete val="0"/>
        <c:axPos val="l"/>
        <c:numFmt formatCode="General" sourceLinked="1"/>
        <c:majorTickMark val="none"/>
        <c:minorTickMark val="none"/>
        <c:tickLblPos val="nextTo"/>
        <c:spPr>
          <a:noFill/>
          <a:ln w="19023" cap="flat" cmpd="sng" algn="ctr">
            <a:solidFill>
              <a:schemeClr val="tx1">
                <a:lumMod val="25000"/>
                <a:lumOff val="7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5286144"/>
        <c:crosses val="autoZero"/>
        <c:auto val="1"/>
        <c:lblAlgn val="ctr"/>
        <c:lblOffset val="100"/>
        <c:noMultiLvlLbl val="0"/>
      </c:catAx>
      <c:valAx>
        <c:axId val="705286144"/>
        <c:scaling>
          <c:orientation val="minMax"/>
        </c:scaling>
        <c:delete val="0"/>
        <c:axPos val="b"/>
        <c:numFmt formatCode="0.0%" sourceLinked="1"/>
        <c:majorTickMark val="none"/>
        <c:minorTickMark val="none"/>
        <c:tickLblPos val="nextTo"/>
        <c:spPr>
          <a:ln w="9523">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5263872"/>
        <c:crosses val="autoZero"/>
        <c:crossBetween val="between"/>
      </c:valAx>
      <c:spPr>
        <a:noFill/>
        <a:ln w="25395">
          <a:noFill/>
        </a:ln>
      </c:spPr>
    </c:plotArea>
    <c:legend>
      <c:legendPos val="t"/>
      <c:overlay val="0"/>
      <c:spPr>
        <a:noFill/>
        <a:ln w="25395">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12"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6822925780110818"/>
          <c:y val="9.3441150044923635E-2"/>
          <c:w val="0.45196759259259262"/>
          <c:h val="0.70170709793351305"/>
        </c:manualLayout>
      </c:layout>
      <c:pieChart>
        <c:varyColors val="1"/>
        <c:ser>
          <c:idx val="0"/>
          <c:order val="0"/>
          <c:tx>
            <c:strRef>
              <c:f>Лист1!$B$1</c:f>
              <c:strCache>
                <c:ptCount val="1"/>
                <c:pt idx="0">
                  <c:v>Лечение </c:v>
                </c:pt>
              </c:strCache>
            </c:strRef>
          </c:tx>
          <c:explosion val="3"/>
          <c:dPt>
            <c:idx val="0"/>
            <c:bubble3D val="0"/>
            <c:spPr>
              <a:gradFill rotWithShape="1">
                <a:gsLst>
                  <a:gs pos="0">
                    <a:schemeClr val="accent5">
                      <a:shade val="53000"/>
                      <a:shade val="51000"/>
                      <a:satMod val="130000"/>
                    </a:schemeClr>
                  </a:gs>
                  <a:gs pos="80000">
                    <a:schemeClr val="accent5">
                      <a:shade val="53000"/>
                      <a:shade val="93000"/>
                      <a:satMod val="130000"/>
                    </a:schemeClr>
                  </a:gs>
                  <a:gs pos="100000">
                    <a:schemeClr val="accent5">
                      <a:shade val="53000"/>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explosion val="0"/>
            <c:spPr>
              <a:gradFill rotWithShape="1">
                <a:gsLst>
                  <a:gs pos="0">
                    <a:schemeClr val="accent5">
                      <a:shade val="76000"/>
                      <a:shade val="51000"/>
                      <a:satMod val="130000"/>
                    </a:schemeClr>
                  </a:gs>
                  <a:gs pos="80000">
                    <a:schemeClr val="accent5">
                      <a:shade val="76000"/>
                      <a:shade val="93000"/>
                      <a:satMod val="130000"/>
                    </a:schemeClr>
                  </a:gs>
                  <a:gs pos="100000">
                    <a:schemeClr val="accent5">
                      <a:shade val="76000"/>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explosion val="8"/>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c:spPr>
          </c:dPt>
          <c:dPt>
            <c:idx val="3"/>
            <c:bubble3D val="0"/>
            <c:explosion val="8"/>
            <c:spPr>
              <a:gradFill rotWithShape="1">
                <a:gsLst>
                  <a:gs pos="0">
                    <a:schemeClr val="accent5">
                      <a:tint val="77000"/>
                      <a:shade val="51000"/>
                      <a:satMod val="130000"/>
                    </a:schemeClr>
                  </a:gs>
                  <a:gs pos="80000">
                    <a:schemeClr val="accent5">
                      <a:tint val="77000"/>
                      <a:shade val="93000"/>
                      <a:satMod val="130000"/>
                    </a:schemeClr>
                  </a:gs>
                  <a:gs pos="100000">
                    <a:schemeClr val="accent5">
                      <a:tint val="77000"/>
                      <a:shade val="94000"/>
                      <a:satMod val="135000"/>
                    </a:schemeClr>
                  </a:gs>
                </a:gsLst>
                <a:lin ang="16200000" scaled="0"/>
              </a:gradFill>
              <a:ln>
                <a:noFill/>
              </a:ln>
              <a:effectLst>
                <a:outerShdw blurRad="40000" dist="23000" dir="5400000" rotWithShape="0">
                  <a:srgbClr val="000000">
                    <a:alpha val="35000"/>
                  </a:srgbClr>
                </a:outerShdw>
              </a:effectLst>
            </c:spPr>
          </c:dPt>
          <c:dPt>
            <c:idx val="4"/>
            <c:bubble3D val="0"/>
            <c:explosion val="9"/>
            <c:spPr>
              <a:gradFill rotWithShape="1">
                <a:gsLst>
                  <a:gs pos="0">
                    <a:schemeClr val="accent5">
                      <a:tint val="54000"/>
                      <a:shade val="51000"/>
                      <a:satMod val="130000"/>
                    </a:schemeClr>
                  </a:gs>
                  <a:gs pos="80000">
                    <a:schemeClr val="accent5">
                      <a:tint val="54000"/>
                      <a:shade val="93000"/>
                      <a:satMod val="130000"/>
                    </a:schemeClr>
                  </a:gs>
                  <a:gs pos="100000">
                    <a:schemeClr val="accent5">
                      <a:tint val="54000"/>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4.1447944006998277E-3"/>
                  <c:y val="-9.2801607346251563E-2"/>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3.9213692038495188E-2"/>
                  <c:y val="2.8046211204731615E-2"/>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6455599300087489E-3"/>
                  <c:y val="-2.0770988532093864E-4"/>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4.5284521726450859E-2"/>
                  <c:y val="-8.2543455652949044E-3"/>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3.1980169145523499E-2"/>
                  <c:y val="3.7343067965560875E-2"/>
                </c:manualLayout>
              </c:layout>
              <c:dLblPos val="bestFit"/>
              <c:showLegendKey val="0"/>
              <c:showVal val="1"/>
              <c:showCatName val="1"/>
              <c:showSerName val="0"/>
              <c:showPercent val="0"/>
              <c:showBubbleSize val="0"/>
              <c:extLst>
                <c:ext xmlns:c15="http://schemas.microsoft.com/office/drawing/2012/chart" uri="{CE6537A1-D6FC-4f65-9D91-7224C49458BB}"/>
              </c:extLst>
            </c:dLbl>
            <c:spPr>
              <a:noFill/>
              <a:ln w="25394">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2"/>
                    </a:solidFill>
                    <a:latin typeface="+mn-lt"/>
                    <a:ea typeface="+mn-ea"/>
                    <a:cs typeface="+mn-cs"/>
                  </a:defRPr>
                </a:pPr>
                <a:endParaRPr lang="ru-RU"/>
              </a:p>
            </c:txPr>
            <c:dLblPos val="inEnd"/>
            <c:showLegendKey val="0"/>
            <c:showVal val="1"/>
            <c:showCatName val="1"/>
            <c:showSerName val="0"/>
            <c:showPercent val="0"/>
            <c:showBubbleSize val="0"/>
            <c:showLeaderLines val="1"/>
            <c:leaderLines>
              <c:spPr>
                <a:ln w="9513">
                  <a:solidFill>
                    <a:schemeClr val="tx2">
                      <a:lumMod val="35000"/>
                      <a:lumOff val="65000"/>
                    </a:schemeClr>
                  </a:solidFill>
                </a:ln>
                <a:effectLst/>
              </c:spPr>
            </c:leaderLines>
            <c:extLst>
              <c:ext xmlns:c15="http://schemas.microsoft.com/office/drawing/2012/chart" uri="{CE6537A1-D6FC-4f65-9D91-7224C49458BB}"/>
            </c:extLst>
          </c:dLbls>
          <c:cat>
            <c:strRef>
              <c:f>Лист1!$A$2:$A$6</c:f>
              <c:strCache>
                <c:ptCount val="5"/>
                <c:pt idx="0">
                  <c:v>Только хирургическое лечение</c:v>
                </c:pt>
                <c:pt idx="1">
                  <c:v>Только лекарственное лечение</c:v>
                </c:pt>
                <c:pt idx="2">
                  <c:v>Только лучевое лечение</c:v>
                </c:pt>
                <c:pt idx="3">
                  <c:v>Химиолучевое лечение</c:v>
                </c:pt>
                <c:pt idx="4">
                  <c:v>Комбинированное или комплексное лечение</c:v>
                </c:pt>
              </c:strCache>
            </c:strRef>
          </c:cat>
          <c:val>
            <c:numRef>
              <c:f>Лист1!$B$2:$B$6</c:f>
              <c:numCache>
                <c:formatCode>0.0%</c:formatCode>
                <c:ptCount val="5"/>
                <c:pt idx="0">
                  <c:v>0.504</c:v>
                </c:pt>
                <c:pt idx="1">
                  <c:v>3.2000000000000001E-2</c:v>
                </c:pt>
                <c:pt idx="2">
                  <c:v>0.113</c:v>
                </c:pt>
                <c:pt idx="3">
                  <c:v>2.1000000000000001E-2</c:v>
                </c:pt>
                <c:pt idx="4">
                  <c:v>0.32900000000000001</c:v>
                </c:pt>
              </c:numCache>
            </c:numRef>
          </c:val>
        </c:ser>
        <c:dLbls>
          <c:showLegendKey val="0"/>
          <c:showVal val="0"/>
          <c:showCatName val="0"/>
          <c:showSerName val="0"/>
          <c:showPercent val="0"/>
          <c:showBubbleSize val="0"/>
          <c:showLeaderLines val="1"/>
        </c:dLbls>
        <c:firstSliceAng val="0"/>
      </c:pieChart>
      <c:spPr>
        <a:noFill/>
        <a:ln w="25394">
          <a:noFill/>
        </a:ln>
      </c:spPr>
    </c:plotArea>
    <c:plotVisOnly val="1"/>
    <c:dispBlanksAs val="gap"/>
    <c:showDLblsOverMax val="0"/>
  </c:chart>
  <c:spPr>
    <a:solidFill>
      <a:schemeClr val="bg1"/>
    </a:solidFill>
    <a:ln w="9513" cap="flat" cmpd="sng" algn="ctr">
      <a:solidFill>
        <a:schemeClr val="tx2">
          <a:lumMod val="15000"/>
          <a:lumOff val="85000"/>
        </a:schemeClr>
      </a:solidFill>
      <a:round/>
    </a:ln>
    <a:effectLst/>
  </c:spPr>
  <c:txPr>
    <a:bodyPr/>
    <a:lstStyle/>
    <a:p>
      <a:pPr>
        <a:defRPr/>
      </a:pPr>
      <a:endParaRPr lang="ru-RU"/>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Лист1!$C$62</c:f>
              <c:strCache>
                <c:ptCount val="1"/>
                <c:pt idx="0">
                  <c:v>протон</c:v>
                </c:pt>
              </c:strCache>
            </c:strRef>
          </c:tx>
          <c:spPr>
            <a:solidFill>
              <a:srgbClr val="5B9BD5"/>
            </a:solidFill>
            <a:ln w="25363">
              <a:noFill/>
            </a:ln>
          </c:spPr>
          <c:invertIfNegative val="0"/>
          <c:dPt>
            <c:idx val="34"/>
            <c:invertIfNegative val="0"/>
            <c:bubble3D val="0"/>
            <c:spPr>
              <a:pattFill prst="wdUpDiag">
                <a:fgClr>
                  <a:schemeClr val="accent1"/>
                </a:fgClr>
                <a:bgClr>
                  <a:schemeClr val="bg1"/>
                </a:bgClr>
              </a:pattFill>
              <a:ln w="12681">
                <a:solidFill>
                  <a:schemeClr val="accent1"/>
                </a:solidFill>
              </a:ln>
              <a:effectLst/>
            </c:spPr>
          </c:dPt>
          <c:dPt>
            <c:idx val="35"/>
            <c:invertIfNegative val="0"/>
            <c:bubble3D val="0"/>
            <c:spPr>
              <a:pattFill prst="wdUpDiag">
                <a:fgClr>
                  <a:schemeClr val="accent1"/>
                </a:fgClr>
                <a:bgClr>
                  <a:schemeClr val="bg1"/>
                </a:bgClr>
              </a:pattFill>
              <a:ln w="12681">
                <a:solidFill>
                  <a:schemeClr val="accent1"/>
                </a:solidFill>
              </a:ln>
              <a:effectLst/>
            </c:spPr>
          </c:dPt>
          <c:dPt>
            <c:idx val="37"/>
            <c:invertIfNegative val="0"/>
            <c:bubble3D val="0"/>
            <c:spPr>
              <a:pattFill prst="wdUpDiag">
                <a:fgClr>
                  <a:schemeClr val="accent1"/>
                </a:fgClr>
                <a:bgClr>
                  <a:schemeClr val="bg1"/>
                </a:bgClr>
              </a:pattFill>
              <a:ln w="12681">
                <a:solidFill>
                  <a:schemeClr val="accent1"/>
                </a:solidFill>
              </a:ln>
              <a:effectLst/>
            </c:spPr>
          </c:dPt>
          <c:cat>
            <c:numRef>
              <c:f>Лист1!$A$63:$A$100</c:f>
              <c:numCache>
                <c:formatCode>General</c:formatCode>
                <c:ptCount val="38"/>
                <c:pt idx="0">
                  <c:v>1954</c:v>
                </c:pt>
                <c:pt idx="1">
                  <c:v>1957</c:v>
                </c:pt>
                <c:pt idx="2">
                  <c:v>1961</c:v>
                </c:pt>
                <c:pt idx="3">
                  <c:v>1967</c:v>
                </c:pt>
                <c:pt idx="4">
                  <c:v>1969</c:v>
                </c:pt>
                <c:pt idx="5">
                  <c:v>1974</c:v>
                </c:pt>
                <c:pt idx="6">
                  <c:v>1975</c:v>
                </c:pt>
                <c:pt idx="7">
                  <c:v>1979</c:v>
                </c:pt>
                <c:pt idx="8">
                  <c:v>1980</c:v>
                </c:pt>
                <c:pt idx="9">
                  <c:v>1983</c:v>
                </c:pt>
                <c:pt idx="10">
                  <c:v>1984</c:v>
                </c:pt>
                <c:pt idx="11">
                  <c:v>1989</c:v>
                </c:pt>
                <c:pt idx="12">
                  <c:v>1990</c:v>
                </c:pt>
                <c:pt idx="13">
                  <c:v>1991</c:v>
                </c:pt>
                <c:pt idx="14">
                  <c:v>1993</c:v>
                </c:pt>
                <c:pt idx="15">
                  <c:v>1994</c:v>
                </c:pt>
                <c:pt idx="16">
                  <c:v>1995</c:v>
                </c:pt>
                <c:pt idx="17">
                  <c:v>1996</c:v>
                </c:pt>
                <c:pt idx="18">
                  <c:v>1997</c:v>
                </c:pt>
                <c:pt idx="19">
                  <c:v>1998</c:v>
                </c:pt>
                <c:pt idx="20">
                  <c:v>1999</c:v>
                </c:pt>
                <c:pt idx="21">
                  <c:v>2001</c:v>
                </c:pt>
                <c:pt idx="22">
                  <c:v>2002</c:v>
                </c:pt>
                <c:pt idx="23">
                  <c:v>2003</c:v>
                </c:pt>
                <c:pt idx="24">
                  <c:v>2004</c:v>
                </c:pt>
                <c:pt idx="25">
                  <c:v>2006</c:v>
                </c:pt>
                <c:pt idx="26">
                  <c:v>2007</c:v>
                </c:pt>
                <c:pt idx="27">
                  <c:v>2008</c:v>
                </c:pt>
                <c:pt idx="28">
                  <c:v>2009</c:v>
                </c:pt>
                <c:pt idx="29">
                  <c:v>2010</c:v>
                </c:pt>
                <c:pt idx="30">
                  <c:v>2011</c:v>
                </c:pt>
                <c:pt idx="31">
                  <c:v>2012</c:v>
                </c:pt>
                <c:pt idx="32">
                  <c:v>2013</c:v>
                </c:pt>
                <c:pt idx="33">
                  <c:v>2014</c:v>
                </c:pt>
                <c:pt idx="34">
                  <c:v>2015</c:v>
                </c:pt>
                <c:pt idx="35">
                  <c:v>2016</c:v>
                </c:pt>
                <c:pt idx="36">
                  <c:v>2017</c:v>
                </c:pt>
                <c:pt idx="37">
                  <c:v>2018</c:v>
                </c:pt>
              </c:numCache>
            </c:numRef>
          </c:cat>
          <c:val>
            <c:numRef>
              <c:f>Лист1!$C$63:$C$100</c:f>
              <c:numCache>
                <c:formatCode>General</c:formatCode>
                <c:ptCount val="38"/>
                <c:pt idx="0">
                  <c:v>1</c:v>
                </c:pt>
                <c:pt idx="1">
                  <c:v>2</c:v>
                </c:pt>
                <c:pt idx="2">
                  <c:v>1</c:v>
                </c:pt>
                <c:pt idx="3">
                  <c:v>1</c:v>
                </c:pt>
                <c:pt idx="4">
                  <c:v>1</c:v>
                </c:pt>
                <c:pt idx="6">
                  <c:v>1</c:v>
                </c:pt>
                <c:pt idx="7">
                  <c:v>1</c:v>
                </c:pt>
                <c:pt idx="9">
                  <c:v>1</c:v>
                </c:pt>
                <c:pt idx="10">
                  <c:v>1</c:v>
                </c:pt>
                <c:pt idx="11">
                  <c:v>2</c:v>
                </c:pt>
                <c:pt idx="12">
                  <c:v>1</c:v>
                </c:pt>
                <c:pt idx="13">
                  <c:v>3</c:v>
                </c:pt>
                <c:pt idx="14">
                  <c:v>2</c:v>
                </c:pt>
                <c:pt idx="15">
                  <c:v>1</c:v>
                </c:pt>
                <c:pt idx="16">
                  <c:v>1</c:v>
                </c:pt>
                <c:pt idx="17">
                  <c:v>1</c:v>
                </c:pt>
                <c:pt idx="19">
                  <c:v>2</c:v>
                </c:pt>
                <c:pt idx="20">
                  <c:v>1</c:v>
                </c:pt>
                <c:pt idx="21">
                  <c:v>3</c:v>
                </c:pt>
                <c:pt idx="22">
                  <c:v>2</c:v>
                </c:pt>
                <c:pt idx="23">
                  <c:v>1</c:v>
                </c:pt>
                <c:pt idx="24">
                  <c:v>2</c:v>
                </c:pt>
                <c:pt idx="25">
                  <c:v>2</c:v>
                </c:pt>
                <c:pt idx="26">
                  <c:v>1</c:v>
                </c:pt>
                <c:pt idx="27">
                  <c:v>1</c:v>
                </c:pt>
                <c:pt idx="28">
                  <c:v>3</c:v>
                </c:pt>
                <c:pt idx="29">
                  <c:v>3</c:v>
                </c:pt>
                <c:pt idx="30">
                  <c:v>4</c:v>
                </c:pt>
                <c:pt idx="31">
                  <c:v>2</c:v>
                </c:pt>
                <c:pt idx="32">
                  <c:v>5</c:v>
                </c:pt>
                <c:pt idx="33">
                  <c:v>6</c:v>
                </c:pt>
                <c:pt idx="34">
                  <c:v>18</c:v>
                </c:pt>
                <c:pt idx="35">
                  <c:v>8</c:v>
                </c:pt>
                <c:pt idx="37">
                  <c:v>1</c:v>
                </c:pt>
              </c:numCache>
            </c:numRef>
          </c:val>
        </c:ser>
        <c:ser>
          <c:idx val="1"/>
          <c:order val="1"/>
          <c:tx>
            <c:strRef>
              <c:f>Лист1!$D$62</c:f>
              <c:strCache>
                <c:ptCount val="1"/>
                <c:pt idx="0">
                  <c:v>ион</c:v>
                </c:pt>
              </c:strCache>
            </c:strRef>
          </c:tx>
          <c:spPr>
            <a:solidFill>
              <a:srgbClr val="ED7D31"/>
            </a:solidFill>
            <a:ln w="25363">
              <a:noFill/>
            </a:ln>
          </c:spPr>
          <c:invertIfNegative val="0"/>
          <c:dPt>
            <c:idx val="34"/>
            <c:invertIfNegative val="0"/>
            <c:bubble3D val="0"/>
            <c:spPr>
              <a:pattFill prst="wdUpDiag">
                <a:fgClr>
                  <a:schemeClr val="accent2"/>
                </a:fgClr>
                <a:bgClr>
                  <a:schemeClr val="bg1"/>
                </a:bgClr>
              </a:pattFill>
              <a:ln w="12681">
                <a:solidFill>
                  <a:schemeClr val="accent2"/>
                </a:solidFill>
              </a:ln>
              <a:effectLst/>
            </c:spPr>
          </c:dPt>
          <c:dPt>
            <c:idx val="35"/>
            <c:invertIfNegative val="0"/>
            <c:bubble3D val="0"/>
            <c:spPr>
              <a:pattFill prst="wdUpDiag">
                <a:fgClr>
                  <a:schemeClr val="accent2"/>
                </a:fgClr>
                <a:bgClr>
                  <a:schemeClr val="bg1"/>
                </a:bgClr>
              </a:pattFill>
              <a:ln w="12681">
                <a:solidFill>
                  <a:schemeClr val="accent2"/>
                </a:solidFill>
              </a:ln>
              <a:effectLst/>
            </c:spPr>
          </c:dPt>
          <c:cat>
            <c:numRef>
              <c:f>Лист1!$A$63:$A$100</c:f>
              <c:numCache>
                <c:formatCode>General</c:formatCode>
                <c:ptCount val="38"/>
                <c:pt idx="0">
                  <c:v>1954</c:v>
                </c:pt>
                <c:pt idx="1">
                  <c:v>1957</c:v>
                </c:pt>
                <c:pt idx="2">
                  <c:v>1961</c:v>
                </c:pt>
                <c:pt idx="3">
                  <c:v>1967</c:v>
                </c:pt>
                <c:pt idx="4">
                  <c:v>1969</c:v>
                </c:pt>
                <c:pt idx="5">
                  <c:v>1974</c:v>
                </c:pt>
                <c:pt idx="6">
                  <c:v>1975</c:v>
                </c:pt>
                <c:pt idx="7">
                  <c:v>1979</c:v>
                </c:pt>
                <c:pt idx="8">
                  <c:v>1980</c:v>
                </c:pt>
                <c:pt idx="9">
                  <c:v>1983</c:v>
                </c:pt>
                <c:pt idx="10">
                  <c:v>1984</c:v>
                </c:pt>
                <c:pt idx="11">
                  <c:v>1989</c:v>
                </c:pt>
                <c:pt idx="12">
                  <c:v>1990</c:v>
                </c:pt>
                <c:pt idx="13">
                  <c:v>1991</c:v>
                </c:pt>
                <c:pt idx="14">
                  <c:v>1993</c:v>
                </c:pt>
                <c:pt idx="15">
                  <c:v>1994</c:v>
                </c:pt>
                <c:pt idx="16">
                  <c:v>1995</c:v>
                </c:pt>
                <c:pt idx="17">
                  <c:v>1996</c:v>
                </c:pt>
                <c:pt idx="18">
                  <c:v>1997</c:v>
                </c:pt>
                <c:pt idx="19">
                  <c:v>1998</c:v>
                </c:pt>
                <c:pt idx="20">
                  <c:v>1999</c:v>
                </c:pt>
                <c:pt idx="21">
                  <c:v>2001</c:v>
                </c:pt>
                <c:pt idx="22">
                  <c:v>2002</c:v>
                </c:pt>
                <c:pt idx="23">
                  <c:v>2003</c:v>
                </c:pt>
                <c:pt idx="24">
                  <c:v>2004</c:v>
                </c:pt>
                <c:pt idx="25">
                  <c:v>2006</c:v>
                </c:pt>
                <c:pt idx="26">
                  <c:v>2007</c:v>
                </c:pt>
                <c:pt idx="27">
                  <c:v>2008</c:v>
                </c:pt>
                <c:pt idx="28">
                  <c:v>2009</c:v>
                </c:pt>
                <c:pt idx="29">
                  <c:v>2010</c:v>
                </c:pt>
                <c:pt idx="30">
                  <c:v>2011</c:v>
                </c:pt>
                <c:pt idx="31">
                  <c:v>2012</c:v>
                </c:pt>
                <c:pt idx="32">
                  <c:v>2013</c:v>
                </c:pt>
                <c:pt idx="33">
                  <c:v>2014</c:v>
                </c:pt>
                <c:pt idx="34">
                  <c:v>2015</c:v>
                </c:pt>
                <c:pt idx="35">
                  <c:v>2016</c:v>
                </c:pt>
                <c:pt idx="36">
                  <c:v>2017</c:v>
                </c:pt>
                <c:pt idx="37">
                  <c:v>2018</c:v>
                </c:pt>
              </c:numCache>
            </c:numRef>
          </c:cat>
          <c:val>
            <c:numRef>
              <c:f>Лист1!$D$63:$D$100</c:f>
              <c:numCache>
                <c:formatCode>General</c:formatCode>
                <c:ptCount val="38"/>
                <c:pt idx="6">
                  <c:v>1</c:v>
                </c:pt>
                <c:pt idx="15">
                  <c:v>1</c:v>
                </c:pt>
                <c:pt idx="18">
                  <c:v>1</c:v>
                </c:pt>
                <c:pt idx="22">
                  <c:v>1</c:v>
                </c:pt>
                <c:pt idx="25">
                  <c:v>1</c:v>
                </c:pt>
                <c:pt idx="28">
                  <c:v>1</c:v>
                </c:pt>
                <c:pt idx="29">
                  <c:v>1</c:v>
                </c:pt>
                <c:pt idx="31">
                  <c:v>1</c:v>
                </c:pt>
                <c:pt idx="32">
                  <c:v>1</c:v>
                </c:pt>
                <c:pt idx="33">
                  <c:v>1</c:v>
                </c:pt>
                <c:pt idx="34">
                  <c:v>1</c:v>
                </c:pt>
                <c:pt idx="35">
                  <c:v>1</c:v>
                </c:pt>
              </c:numCache>
            </c:numRef>
          </c:val>
        </c:ser>
        <c:ser>
          <c:idx val="2"/>
          <c:order val="2"/>
          <c:tx>
            <c:strRef>
              <c:f>Лист1!$E$62</c:f>
              <c:strCache>
                <c:ptCount val="1"/>
                <c:pt idx="0">
                  <c:v>другое</c:v>
                </c:pt>
              </c:strCache>
            </c:strRef>
          </c:tx>
          <c:spPr>
            <a:solidFill>
              <a:srgbClr val="A5A5A5"/>
            </a:solidFill>
            <a:ln w="25363">
              <a:noFill/>
            </a:ln>
          </c:spPr>
          <c:invertIfNegative val="0"/>
          <c:cat>
            <c:numRef>
              <c:f>Лист1!$A$63:$A$100</c:f>
              <c:numCache>
                <c:formatCode>General</c:formatCode>
                <c:ptCount val="38"/>
                <c:pt idx="0">
                  <c:v>1954</c:v>
                </c:pt>
                <c:pt idx="1">
                  <c:v>1957</c:v>
                </c:pt>
                <c:pt idx="2">
                  <c:v>1961</c:v>
                </c:pt>
                <c:pt idx="3">
                  <c:v>1967</c:v>
                </c:pt>
                <c:pt idx="4">
                  <c:v>1969</c:v>
                </c:pt>
                <c:pt idx="5">
                  <c:v>1974</c:v>
                </c:pt>
                <c:pt idx="6">
                  <c:v>1975</c:v>
                </c:pt>
                <c:pt idx="7">
                  <c:v>1979</c:v>
                </c:pt>
                <c:pt idx="8">
                  <c:v>1980</c:v>
                </c:pt>
                <c:pt idx="9">
                  <c:v>1983</c:v>
                </c:pt>
                <c:pt idx="10">
                  <c:v>1984</c:v>
                </c:pt>
                <c:pt idx="11">
                  <c:v>1989</c:v>
                </c:pt>
                <c:pt idx="12">
                  <c:v>1990</c:v>
                </c:pt>
                <c:pt idx="13">
                  <c:v>1991</c:v>
                </c:pt>
                <c:pt idx="14">
                  <c:v>1993</c:v>
                </c:pt>
                <c:pt idx="15">
                  <c:v>1994</c:v>
                </c:pt>
                <c:pt idx="16">
                  <c:v>1995</c:v>
                </c:pt>
                <c:pt idx="17">
                  <c:v>1996</c:v>
                </c:pt>
                <c:pt idx="18">
                  <c:v>1997</c:v>
                </c:pt>
                <c:pt idx="19">
                  <c:v>1998</c:v>
                </c:pt>
                <c:pt idx="20">
                  <c:v>1999</c:v>
                </c:pt>
                <c:pt idx="21">
                  <c:v>2001</c:v>
                </c:pt>
                <c:pt idx="22">
                  <c:v>2002</c:v>
                </c:pt>
                <c:pt idx="23">
                  <c:v>2003</c:v>
                </c:pt>
                <c:pt idx="24">
                  <c:v>2004</c:v>
                </c:pt>
                <c:pt idx="25">
                  <c:v>2006</c:v>
                </c:pt>
                <c:pt idx="26">
                  <c:v>2007</c:v>
                </c:pt>
                <c:pt idx="27">
                  <c:v>2008</c:v>
                </c:pt>
                <c:pt idx="28">
                  <c:v>2009</c:v>
                </c:pt>
                <c:pt idx="29">
                  <c:v>2010</c:v>
                </c:pt>
                <c:pt idx="30">
                  <c:v>2011</c:v>
                </c:pt>
                <c:pt idx="31">
                  <c:v>2012</c:v>
                </c:pt>
                <c:pt idx="32">
                  <c:v>2013</c:v>
                </c:pt>
                <c:pt idx="33">
                  <c:v>2014</c:v>
                </c:pt>
                <c:pt idx="34">
                  <c:v>2015</c:v>
                </c:pt>
                <c:pt idx="35">
                  <c:v>2016</c:v>
                </c:pt>
                <c:pt idx="36">
                  <c:v>2017</c:v>
                </c:pt>
                <c:pt idx="37">
                  <c:v>2018</c:v>
                </c:pt>
              </c:numCache>
            </c:numRef>
          </c:cat>
          <c:val>
            <c:numRef>
              <c:f>Лист1!$E$63:$E$100</c:f>
              <c:numCache>
                <c:formatCode>General</c:formatCode>
                <c:ptCount val="38"/>
                <c:pt idx="5">
                  <c:v>1</c:v>
                </c:pt>
                <c:pt idx="7">
                  <c:v>1</c:v>
                </c:pt>
                <c:pt idx="8">
                  <c:v>1</c:v>
                </c:pt>
              </c:numCache>
            </c:numRef>
          </c:val>
        </c:ser>
        <c:ser>
          <c:idx val="3"/>
          <c:order val="3"/>
          <c:tx>
            <c:strRef>
              <c:f>Лист1!$F$62</c:f>
              <c:strCache>
                <c:ptCount val="1"/>
                <c:pt idx="0">
                  <c:v>в стадии проекта</c:v>
                </c:pt>
              </c:strCache>
            </c:strRef>
          </c:tx>
          <c:spPr>
            <a:solidFill>
              <a:srgbClr val="FFC000"/>
            </a:solidFill>
            <a:ln w="25363">
              <a:noFill/>
            </a:ln>
          </c:spPr>
          <c:invertIfNegative val="0"/>
          <c:dPt>
            <c:idx val="35"/>
            <c:invertIfNegative val="0"/>
            <c:bubble3D val="0"/>
            <c:spPr>
              <a:pattFill prst="dkHorz">
                <a:fgClr>
                  <a:srgbClr val="FFC000"/>
                </a:fgClr>
                <a:bgClr>
                  <a:sysClr val="window" lastClr="FFFFFF"/>
                </a:bgClr>
              </a:pattFill>
              <a:ln w="12681">
                <a:solidFill>
                  <a:srgbClr val="FFC000"/>
                </a:solidFill>
              </a:ln>
              <a:effectLst/>
            </c:spPr>
          </c:dPt>
          <c:dPt>
            <c:idx val="36"/>
            <c:invertIfNegative val="0"/>
            <c:bubble3D val="0"/>
            <c:spPr>
              <a:pattFill prst="dkHorz">
                <a:fgClr>
                  <a:srgbClr val="FFC000"/>
                </a:fgClr>
                <a:bgClr>
                  <a:sysClr val="window" lastClr="FFFFFF"/>
                </a:bgClr>
              </a:pattFill>
              <a:ln w="12681">
                <a:solidFill>
                  <a:srgbClr val="FFC000"/>
                </a:solidFill>
              </a:ln>
              <a:effectLst/>
            </c:spPr>
          </c:dPt>
          <c:dPt>
            <c:idx val="37"/>
            <c:invertIfNegative val="0"/>
            <c:bubble3D val="0"/>
            <c:spPr>
              <a:pattFill prst="dkHorz">
                <a:fgClr>
                  <a:srgbClr val="FFC000"/>
                </a:fgClr>
                <a:bgClr>
                  <a:sysClr val="window" lastClr="FFFFFF"/>
                </a:bgClr>
              </a:pattFill>
              <a:ln w="12681">
                <a:solidFill>
                  <a:srgbClr val="FFC000"/>
                </a:solidFill>
              </a:ln>
              <a:effectLst/>
            </c:spPr>
          </c:dPt>
          <c:cat>
            <c:numRef>
              <c:f>Лист1!$A$63:$A$100</c:f>
              <c:numCache>
                <c:formatCode>General</c:formatCode>
                <c:ptCount val="38"/>
                <c:pt idx="0">
                  <c:v>1954</c:v>
                </c:pt>
                <c:pt idx="1">
                  <c:v>1957</c:v>
                </c:pt>
                <c:pt idx="2">
                  <c:v>1961</c:v>
                </c:pt>
                <c:pt idx="3">
                  <c:v>1967</c:v>
                </c:pt>
                <c:pt idx="4">
                  <c:v>1969</c:v>
                </c:pt>
                <c:pt idx="5">
                  <c:v>1974</c:v>
                </c:pt>
                <c:pt idx="6">
                  <c:v>1975</c:v>
                </c:pt>
                <c:pt idx="7">
                  <c:v>1979</c:v>
                </c:pt>
                <c:pt idx="8">
                  <c:v>1980</c:v>
                </c:pt>
                <c:pt idx="9">
                  <c:v>1983</c:v>
                </c:pt>
                <c:pt idx="10">
                  <c:v>1984</c:v>
                </c:pt>
                <c:pt idx="11">
                  <c:v>1989</c:v>
                </c:pt>
                <c:pt idx="12">
                  <c:v>1990</c:v>
                </c:pt>
                <c:pt idx="13">
                  <c:v>1991</c:v>
                </c:pt>
                <c:pt idx="14">
                  <c:v>1993</c:v>
                </c:pt>
                <c:pt idx="15">
                  <c:v>1994</c:v>
                </c:pt>
                <c:pt idx="16">
                  <c:v>1995</c:v>
                </c:pt>
                <c:pt idx="17">
                  <c:v>1996</c:v>
                </c:pt>
                <c:pt idx="18">
                  <c:v>1997</c:v>
                </c:pt>
                <c:pt idx="19">
                  <c:v>1998</c:v>
                </c:pt>
                <c:pt idx="20">
                  <c:v>1999</c:v>
                </c:pt>
                <c:pt idx="21">
                  <c:v>2001</c:v>
                </c:pt>
                <c:pt idx="22">
                  <c:v>2002</c:v>
                </c:pt>
                <c:pt idx="23">
                  <c:v>2003</c:v>
                </c:pt>
                <c:pt idx="24">
                  <c:v>2004</c:v>
                </c:pt>
                <c:pt idx="25">
                  <c:v>2006</c:v>
                </c:pt>
                <c:pt idx="26">
                  <c:v>2007</c:v>
                </c:pt>
                <c:pt idx="27">
                  <c:v>2008</c:v>
                </c:pt>
                <c:pt idx="28">
                  <c:v>2009</c:v>
                </c:pt>
                <c:pt idx="29">
                  <c:v>2010</c:v>
                </c:pt>
                <c:pt idx="30">
                  <c:v>2011</c:v>
                </c:pt>
                <c:pt idx="31">
                  <c:v>2012</c:v>
                </c:pt>
                <c:pt idx="32">
                  <c:v>2013</c:v>
                </c:pt>
                <c:pt idx="33">
                  <c:v>2014</c:v>
                </c:pt>
                <c:pt idx="34">
                  <c:v>2015</c:v>
                </c:pt>
                <c:pt idx="35">
                  <c:v>2016</c:v>
                </c:pt>
                <c:pt idx="36">
                  <c:v>2017</c:v>
                </c:pt>
                <c:pt idx="37">
                  <c:v>2018</c:v>
                </c:pt>
              </c:numCache>
            </c:numRef>
          </c:cat>
          <c:val>
            <c:numRef>
              <c:f>Лист1!$F$63:$F$100</c:f>
              <c:numCache>
                <c:formatCode>General</c:formatCode>
                <c:ptCount val="38"/>
                <c:pt idx="35">
                  <c:v>2</c:v>
                </c:pt>
                <c:pt idx="36">
                  <c:v>7</c:v>
                </c:pt>
                <c:pt idx="37">
                  <c:v>7</c:v>
                </c:pt>
              </c:numCache>
            </c:numRef>
          </c:val>
        </c:ser>
        <c:dLbls>
          <c:showLegendKey val="0"/>
          <c:showVal val="0"/>
          <c:showCatName val="0"/>
          <c:showSerName val="0"/>
          <c:showPercent val="0"/>
          <c:showBubbleSize val="0"/>
        </c:dLbls>
        <c:gapWidth val="150"/>
        <c:overlap val="100"/>
        <c:axId val="705561728"/>
        <c:axId val="705563264"/>
      </c:barChart>
      <c:catAx>
        <c:axId val="705561728"/>
        <c:scaling>
          <c:orientation val="minMax"/>
        </c:scaling>
        <c:delete val="0"/>
        <c:axPos val="b"/>
        <c:numFmt formatCode="General" sourceLinked="1"/>
        <c:majorTickMark val="none"/>
        <c:minorTickMark val="none"/>
        <c:tickLblPos val="nextTo"/>
        <c:spPr>
          <a:noFill/>
          <a:ln w="9510"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5563264"/>
        <c:crosses val="autoZero"/>
        <c:auto val="1"/>
        <c:lblAlgn val="ctr"/>
        <c:lblOffset val="100"/>
        <c:noMultiLvlLbl val="0"/>
      </c:catAx>
      <c:valAx>
        <c:axId val="705563264"/>
        <c:scaling>
          <c:orientation val="minMax"/>
        </c:scaling>
        <c:delete val="0"/>
        <c:axPos val="l"/>
        <c:majorGridlines>
          <c:spPr>
            <a:ln w="9510" cap="flat" cmpd="sng" algn="ctr">
              <a:solidFill>
                <a:schemeClr val="tx1">
                  <a:lumMod val="15000"/>
                  <a:lumOff val="85000"/>
                </a:schemeClr>
              </a:solidFill>
              <a:round/>
            </a:ln>
            <a:effectLst/>
          </c:spPr>
        </c:majorGridlines>
        <c:numFmt formatCode="General" sourceLinked="1"/>
        <c:majorTickMark val="none"/>
        <c:minorTickMark val="none"/>
        <c:tickLblPos val="nextTo"/>
        <c:spPr>
          <a:ln w="6341">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5561728"/>
        <c:crosses val="autoZero"/>
        <c:crossBetween val="between"/>
      </c:valAx>
      <c:spPr>
        <a:noFill/>
        <a:ln w="25363">
          <a:noFill/>
        </a:ln>
      </c:spPr>
    </c:plotArea>
    <c:legend>
      <c:legendPos val="b"/>
      <c:overlay val="0"/>
      <c:spPr>
        <a:noFill/>
        <a:ln w="25363">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10"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98" b="1" i="0" u="none" strike="noStrike" kern="1200" cap="all" baseline="0">
                <a:solidFill>
                  <a:schemeClr val="tx1">
                    <a:lumMod val="65000"/>
                    <a:lumOff val="35000"/>
                  </a:schemeClr>
                </a:solidFill>
                <a:latin typeface="+mn-lt"/>
                <a:ea typeface="+mn-ea"/>
                <a:cs typeface="+mn-cs"/>
              </a:defRPr>
            </a:pPr>
            <a:r>
              <a:rPr lang="ru-RU" sz="1198"/>
              <a:t>Действующие центры</a:t>
            </a:r>
          </a:p>
        </c:rich>
      </c:tx>
      <c:overlay val="0"/>
      <c:spPr>
        <a:noFill/>
        <a:ln w="25378">
          <a:noFill/>
        </a:ln>
      </c:spPr>
    </c:title>
    <c:autoTitleDeleted val="0"/>
    <c:plotArea>
      <c:layout/>
      <c:pieChart>
        <c:varyColors val="1"/>
        <c:ser>
          <c:idx val="0"/>
          <c:order val="0"/>
          <c:dPt>
            <c:idx val="0"/>
            <c:bubble3D val="0"/>
            <c:spPr>
              <a:solidFill>
                <a:schemeClr val="accent6"/>
              </a:solidFill>
              <a:ln>
                <a:noFill/>
              </a:ln>
              <a:effectLst>
                <a:outerShdw blurRad="63500" sx="102000" sy="102000" algn="ctr" rotWithShape="0">
                  <a:prstClr val="black">
                    <a:alpha val="20000"/>
                  </a:prstClr>
                </a:outerShdw>
              </a:effectLst>
            </c:spPr>
          </c:dPt>
          <c:dPt>
            <c:idx val="1"/>
            <c:bubble3D val="0"/>
            <c:spPr>
              <a:solidFill>
                <a:schemeClr val="accent5"/>
              </a:solidFill>
              <a:ln>
                <a:noFill/>
              </a:ln>
              <a:effectLst>
                <a:outerShdw blurRad="63500" sx="102000" sy="102000" algn="ctr" rotWithShape="0">
                  <a:prstClr val="black">
                    <a:alpha val="20000"/>
                  </a:prstClr>
                </a:outerShdw>
              </a:effectLst>
            </c:spPr>
          </c:dPt>
          <c:dPt>
            <c:idx val="2"/>
            <c:bubble3D val="0"/>
            <c:spPr>
              <a:solidFill>
                <a:schemeClr val="accent4"/>
              </a:solidFill>
              <a:ln>
                <a:noFill/>
              </a:ln>
              <a:effectLst>
                <a:outerShdw blurRad="63500" sx="102000" sy="102000" algn="ctr" rotWithShape="0">
                  <a:prstClr val="black">
                    <a:alpha val="20000"/>
                  </a:prstClr>
                </a:outerShdw>
              </a:effectLst>
            </c:spPr>
          </c:dPt>
          <c:dPt>
            <c:idx val="3"/>
            <c:bubble3D val="0"/>
            <c:spPr>
              <a:solidFill>
                <a:schemeClr val="accent6">
                  <a:lumMod val="60000"/>
                </a:schemeClr>
              </a:solidFill>
              <a:ln>
                <a:noFill/>
              </a:ln>
              <a:effectLst>
                <a:outerShdw blurRad="63500" sx="102000" sy="102000" algn="ctr" rotWithShape="0">
                  <a:prstClr val="black">
                    <a:alpha val="20000"/>
                  </a:prstClr>
                </a:outerShdw>
              </a:effectLst>
            </c:spPr>
          </c:dPt>
          <c:dPt>
            <c:idx val="4"/>
            <c:bubble3D val="0"/>
            <c:spPr>
              <a:solidFill>
                <a:schemeClr val="accent5">
                  <a:lumMod val="60000"/>
                </a:schemeClr>
              </a:solidFill>
              <a:ln>
                <a:noFill/>
              </a:ln>
              <a:effectLst>
                <a:outerShdw blurRad="63500" sx="102000" sy="102000" algn="ctr" rotWithShape="0">
                  <a:prstClr val="black">
                    <a:alpha val="20000"/>
                  </a:prstClr>
                </a:outerShdw>
              </a:effectLst>
            </c:spPr>
          </c:dPt>
          <c:dPt>
            <c:idx val="5"/>
            <c:bubble3D val="0"/>
            <c:spPr>
              <a:solidFill>
                <a:schemeClr val="accent4">
                  <a:lumMod val="60000"/>
                </a:schemeClr>
              </a:solidFill>
              <a:ln>
                <a:noFill/>
              </a:ln>
              <a:effectLst>
                <a:outerShdw blurRad="63500" sx="102000" sy="102000" algn="ctr" rotWithShape="0">
                  <a:prstClr val="black">
                    <a:alpha val="20000"/>
                  </a:prstClr>
                </a:outerShdw>
              </a:effectLst>
            </c:spPr>
          </c:dPt>
          <c:dPt>
            <c:idx val="6"/>
            <c:bubble3D val="0"/>
            <c:spPr>
              <a:solidFill>
                <a:schemeClr val="accent6">
                  <a:lumMod val="80000"/>
                  <a:lumOff val="20000"/>
                </a:schemeClr>
              </a:solidFill>
              <a:ln>
                <a:noFill/>
              </a:ln>
              <a:effectLst>
                <a:outerShdw blurRad="63500" sx="102000" sy="102000" algn="ctr" rotWithShape="0">
                  <a:prstClr val="black">
                    <a:alpha val="20000"/>
                  </a:prstClr>
                </a:outerShdw>
              </a:effectLst>
            </c:spPr>
          </c:dPt>
          <c:dPt>
            <c:idx val="7"/>
            <c:bubble3D val="0"/>
            <c:spPr>
              <a:solidFill>
                <a:schemeClr val="accent5">
                  <a:lumMod val="80000"/>
                  <a:lumOff val="20000"/>
                </a:schemeClr>
              </a:solidFill>
              <a:ln>
                <a:noFill/>
              </a:ln>
              <a:effectLst>
                <a:outerShdw blurRad="63500" sx="102000" sy="102000" algn="ctr" rotWithShape="0">
                  <a:prstClr val="black">
                    <a:alpha val="20000"/>
                  </a:prstClr>
                </a:outerShdw>
              </a:effectLst>
            </c:spPr>
          </c:dPt>
          <c:dPt>
            <c:idx val="8"/>
            <c:bubble3D val="0"/>
            <c:spPr>
              <a:solidFill>
                <a:schemeClr val="accent4">
                  <a:lumMod val="80000"/>
                  <a:lumOff val="20000"/>
                </a:schemeClr>
              </a:solidFill>
              <a:ln>
                <a:noFill/>
              </a:ln>
              <a:effectLst>
                <a:outerShdw blurRad="63500" sx="102000" sy="102000" algn="ctr" rotWithShape="0">
                  <a:prstClr val="black">
                    <a:alpha val="20000"/>
                  </a:prstClr>
                </a:outerShdw>
              </a:effectLst>
            </c:spPr>
          </c:dPt>
          <c:dPt>
            <c:idx val="9"/>
            <c:bubble3D val="0"/>
            <c:spPr>
              <a:solidFill>
                <a:schemeClr val="accent6">
                  <a:lumMod val="80000"/>
                </a:schemeClr>
              </a:solidFill>
              <a:ln>
                <a:noFill/>
              </a:ln>
              <a:effectLst>
                <a:outerShdw blurRad="63500" sx="102000" sy="102000" algn="ctr" rotWithShape="0">
                  <a:prstClr val="black">
                    <a:alpha val="20000"/>
                  </a:prstClr>
                </a:outerShdw>
              </a:effectLst>
            </c:spPr>
          </c:dPt>
          <c:dPt>
            <c:idx val="10"/>
            <c:bubble3D val="0"/>
            <c:spPr>
              <a:solidFill>
                <a:schemeClr val="accent5">
                  <a:lumMod val="80000"/>
                </a:schemeClr>
              </a:solidFill>
              <a:ln>
                <a:noFill/>
              </a:ln>
              <a:effectLst>
                <a:outerShdw blurRad="63500" sx="102000" sy="102000" algn="ctr" rotWithShape="0">
                  <a:prstClr val="black">
                    <a:alpha val="20000"/>
                  </a:prstClr>
                </a:outerShdw>
              </a:effectLst>
            </c:spPr>
          </c:dPt>
          <c:dLbls>
            <c:dLbl>
              <c:idx val="0"/>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6"/>
                      </a:solidFill>
                      <a:latin typeface="+mn-lt"/>
                      <a:ea typeface="+mn-ea"/>
                      <a:cs typeface="+mn-cs"/>
                    </a:defRPr>
                  </a:pPr>
                  <a:endParaRPr lang="ru-RU"/>
                </a:p>
              </c:txPr>
              <c:dLblPos val="outEnd"/>
              <c:showLegendKey val="0"/>
              <c:showVal val="1"/>
              <c:showCatName val="1"/>
              <c:showSerName val="0"/>
              <c:showPercent val="0"/>
              <c:showBubbleSize val="0"/>
            </c:dLbl>
            <c:dLbl>
              <c:idx val="1"/>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solidFill>
                      <a:latin typeface="+mn-lt"/>
                      <a:ea typeface="+mn-ea"/>
                      <a:cs typeface="+mn-cs"/>
                    </a:defRPr>
                  </a:pPr>
                  <a:endParaRPr lang="ru-RU"/>
                </a:p>
              </c:txPr>
              <c:dLblPos val="outEnd"/>
              <c:showLegendKey val="0"/>
              <c:showVal val="1"/>
              <c:showCatName val="1"/>
              <c:showSerName val="0"/>
              <c:showPercent val="0"/>
              <c:showBubbleSize val="0"/>
            </c:dLbl>
            <c:dLbl>
              <c:idx val="2"/>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4"/>
                      </a:solidFill>
                      <a:latin typeface="+mn-lt"/>
                      <a:ea typeface="+mn-ea"/>
                      <a:cs typeface="+mn-cs"/>
                    </a:defRPr>
                  </a:pPr>
                  <a:endParaRPr lang="ru-RU"/>
                </a:p>
              </c:txPr>
              <c:dLblPos val="outEnd"/>
              <c:showLegendKey val="0"/>
              <c:showVal val="1"/>
              <c:showCatName val="1"/>
              <c:showSerName val="0"/>
              <c:showPercent val="0"/>
              <c:showBubbleSize val="0"/>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layout>
                <c:manualLayout>
                  <c:x val="5.7738348525982613E-2"/>
                  <c:y val="-2.2971427259362562E-2"/>
                </c:manualLayout>
              </c:layout>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4">
                          <a:lumMod val="6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1.6725982958671906E-2"/>
                  <c:y val="-3.1650139670289898E-3"/>
                </c:manualLayout>
              </c:layout>
              <c:spPr>
                <a:noFill/>
                <a:ln w="25378">
                  <a:noFill/>
                </a:ln>
              </c:spPr>
              <c:txPr>
                <a:bodyPr rot="0" spcFirstLastPara="1" vertOverflow="ellipsis" vert="horz" wrap="square" lIns="38100" tIns="19050" rIns="38100" bIns="19050" anchor="ctr" anchorCtr="1">
                  <a:noAutofit/>
                </a:bodyPr>
                <a:lstStyle/>
                <a:p>
                  <a:pPr>
                    <a:defRPr sz="998" b="1" i="0" u="none" strike="noStrike" kern="1200" spc="0" baseline="0">
                      <a:solidFill>
                        <a:schemeClr val="accent6">
                          <a:lumMod val="80000"/>
                          <a:lumOff val="2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7"/>
              <c:layout>
                <c:manualLayout>
                  <c:x val="-7.496619173253502E-2"/>
                  <c:y val="6.0191459779609026E-2"/>
                </c:manualLayout>
              </c:layout>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lumMod val="80000"/>
                          <a:lumOff val="2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6">
                          <a:lumMod val="80000"/>
                        </a:schemeClr>
                      </a:solidFill>
                      <a:latin typeface="+mn-lt"/>
                      <a:ea typeface="+mn-ea"/>
                      <a:cs typeface="+mn-cs"/>
                    </a:defRPr>
                  </a:pPr>
                  <a:endParaRPr lang="ru-RU"/>
                </a:p>
              </c:txPr>
              <c:dLblPos val="outEnd"/>
              <c:showLegendKey val="0"/>
              <c:showVal val="1"/>
              <c:showCatName val="1"/>
              <c:showSerName val="0"/>
              <c:showPercent val="0"/>
              <c:showBubbleSize val="0"/>
            </c:dLbl>
            <c:dLbl>
              <c:idx val="10"/>
              <c:spPr>
                <a:noFill/>
                <a:ln w="25378">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lumMod val="80000"/>
                        </a:schemeClr>
                      </a:solidFill>
                      <a:latin typeface="+mn-lt"/>
                      <a:ea typeface="+mn-ea"/>
                      <a:cs typeface="+mn-cs"/>
                    </a:defRPr>
                  </a:pPr>
                  <a:endParaRPr lang="ru-RU"/>
                </a:p>
              </c:txPr>
              <c:dLblPos val="outEnd"/>
              <c:showLegendKey val="0"/>
              <c:showVal val="1"/>
              <c:showCatName val="1"/>
              <c:showSerName val="0"/>
              <c:showPercent val="0"/>
              <c:showBubbleSize val="0"/>
            </c:dLbl>
            <c:spPr>
              <a:noFill/>
              <a:ln w="25378">
                <a:noFill/>
              </a:ln>
            </c:spPr>
            <c:dLblPos val="outEnd"/>
            <c:showLegendKey val="0"/>
            <c:showVal val="1"/>
            <c:showCatName val="1"/>
            <c:showSerName val="0"/>
            <c:showPercent val="0"/>
            <c:showBubbleSize val="0"/>
            <c:showLeaderLines val="1"/>
            <c:leaderLines>
              <c:spPr>
                <a:ln w="9510"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Лист1!$A$62:$A$72</c:f>
              <c:strCache>
                <c:ptCount val="11"/>
                <c:pt idx="0">
                  <c:v>Канада</c:v>
                </c:pt>
                <c:pt idx="1">
                  <c:v>Китай</c:v>
                </c:pt>
                <c:pt idx="2">
                  <c:v>Япония</c:v>
                </c:pt>
                <c:pt idx="3">
                  <c:v>Индия</c:v>
                </c:pt>
                <c:pt idx="4">
                  <c:v>Тайвань</c:v>
                </c:pt>
                <c:pt idx="5">
                  <c:v>Россия</c:v>
                </c:pt>
                <c:pt idx="6">
                  <c:v>Южная Африка</c:v>
                </c:pt>
                <c:pt idx="7">
                  <c:v>Южная Корея</c:v>
                </c:pt>
                <c:pt idx="8">
                  <c:v>Саудовская Аравия</c:v>
                </c:pt>
                <c:pt idx="9">
                  <c:v>США</c:v>
                </c:pt>
                <c:pt idx="10">
                  <c:v>Европа</c:v>
                </c:pt>
              </c:strCache>
            </c:strRef>
          </c:cat>
          <c:val>
            <c:numRef>
              <c:f>Лист1!$D$62:$D$72</c:f>
              <c:numCache>
                <c:formatCode>General</c:formatCode>
                <c:ptCount val="11"/>
                <c:pt idx="0">
                  <c:v>1</c:v>
                </c:pt>
                <c:pt idx="1">
                  <c:v>4</c:v>
                </c:pt>
                <c:pt idx="2">
                  <c:v>13</c:v>
                </c:pt>
                <c:pt idx="3">
                  <c:v>0</c:v>
                </c:pt>
                <c:pt idx="4">
                  <c:v>0</c:v>
                </c:pt>
                <c:pt idx="5">
                  <c:v>1</c:v>
                </c:pt>
                <c:pt idx="6">
                  <c:v>1</c:v>
                </c:pt>
                <c:pt idx="7">
                  <c:v>1</c:v>
                </c:pt>
                <c:pt idx="8">
                  <c:v>0</c:v>
                </c:pt>
                <c:pt idx="9">
                  <c:v>16</c:v>
                </c:pt>
                <c:pt idx="10">
                  <c:v>17</c:v>
                </c:pt>
              </c:numCache>
            </c:numRef>
          </c:val>
        </c:ser>
        <c:dLbls>
          <c:showLegendKey val="0"/>
          <c:showVal val="0"/>
          <c:showCatName val="0"/>
          <c:showSerName val="0"/>
          <c:showPercent val="0"/>
          <c:showBubbleSize val="0"/>
          <c:showLeaderLines val="1"/>
        </c:dLbls>
        <c:firstSliceAng val="0"/>
      </c:pieChart>
      <c:spPr>
        <a:noFill/>
        <a:ln w="25378">
          <a:noFill/>
        </a:ln>
      </c:spPr>
    </c:plotArea>
    <c:plotVisOnly val="1"/>
    <c:dispBlanksAs val="gap"/>
    <c:showDLblsOverMax val="0"/>
  </c:chart>
  <c:spPr>
    <a:solidFill>
      <a:schemeClr val="bg1"/>
    </a:solidFill>
    <a:ln w="9510"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97" b="1" i="0" u="none" strike="noStrike" kern="1200" cap="all" baseline="0">
                <a:solidFill>
                  <a:schemeClr val="tx1">
                    <a:lumMod val="65000"/>
                    <a:lumOff val="35000"/>
                  </a:schemeClr>
                </a:solidFill>
                <a:latin typeface="+mn-lt"/>
                <a:ea typeface="+mn-ea"/>
                <a:cs typeface="+mn-cs"/>
              </a:defRPr>
            </a:pPr>
            <a:r>
              <a:rPr lang="ru-RU" sz="1197"/>
              <a:t>все</a:t>
            </a:r>
            <a:r>
              <a:rPr lang="ru-RU" sz="1197" baseline="0"/>
              <a:t> центры с учетом строящихся и проектируемых</a:t>
            </a:r>
          </a:p>
        </c:rich>
      </c:tx>
      <c:overlay val="0"/>
      <c:spPr>
        <a:noFill/>
        <a:ln w="25367">
          <a:noFill/>
        </a:ln>
      </c:spPr>
    </c:title>
    <c:autoTitleDeleted val="0"/>
    <c:plotArea>
      <c:layout/>
      <c:pieChart>
        <c:varyColors val="1"/>
        <c:ser>
          <c:idx val="0"/>
          <c:order val="0"/>
          <c:dPt>
            <c:idx val="0"/>
            <c:bubble3D val="0"/>
            <c:spPr>
              <a:solidFill>
                <a:schemeClr val="accent6"/>
              </a:solidFill>
              <a:ln>
                <a:noFill/>
              </a:ln>
              <a:effectLst>
                <a:outerShdw blurRad="63500" sx="102000" sy="102000" algn="ctr" rotWithShape="0">
                  <a:prstClr val="black">
                    <a:alpha val="20000"/>
                  </a:prstClr>
                </a:outerShdw>
              </a:effectLst>
            </c:spPr>
          </c:dPt>
          <c:dPt>
            <c:idx val="1"/>
            <c:bubble3D val="0"/>
            <c:spPr>
              <a:solidFill>
                <a:schemeClr val="accent5"/>
              </a:solidFill>
              <a:ln>
                <a:noFill/>
              </a:ln>
              <a:effectLst>
                <a:outerShdw blurRad="63500" sx="102000" sy="102000" algn="ctr" rotWithShape="0">
                  <a:prstClr val="black">
                    <a:alpha val="20000"/>
                  </a:prstClr>
                </a:outerShdw>
              </a:effectLst>
            </c:spPr>
          </c:dPt>
          <c:dPt>
            <c:idx val="2"/>
            <c:bubble3D val="0"/>
            <c:spPr>
              <a:solidFill>
                <a:schemeClr val="accent4"/>
              </a:solidFill>
              <a:ln>
                <a:noFill/>
              </a:ln>
              <a:effectLst>
                <a:outerShdw blurRad="63500" sx="102000" sy="102000" algn="ctr" rotWithShape="0">
                  <a:prstClr val="black">
                    <a:alpha val="20000"/>
                  </a:prstClr>
                </a:outerShdw>
              </a:effectLst>
            </c:spPr>
          </c:dPt>
          <c:dPt>
            <c:idx val="3"/>
            <c:bubble3D val="0"/>
            <c:spPr>
              <a:solidFill>
                <a:schemeClr val="accent6">
                  <a:lumMod val="60000"/>
                </a:schemeClr>
              </a:solidFill>
              <a:ln>
                <a:noFill/>
              </a:ln>
              <a:effectLst>
                <a:outerShdw blurRad="63500" sx="102000" sy="102000" algn="ctr" rotWithShape="0">
                  <a:prstClr val="black">
                    <a:alpha val="20000"/>
                  </a:prstClr>
                </a:outerShdw>
              </a:effectLst>
            </c:spPr>
          </c:dPt>
          <c:dPt>
            <c:idx val="4"/>
            <c:bubble3D val="0"/>
            <c:spPr>
              <a:solidFill>
                <a:schemeClr val="accent5">
                  <a:lumMod val="60000"/>
                </a:schemeClr>
              </a:solidFill>
              <a:ln>
                <a:noFill/>
              </a:ln>
              <a:effectLst>
                <a:outerShdw blurRad="63500" sx="102000" sy="102000" algn="ctr" rotWithShape="0">
                  <a:prstClr val="black">
                    <a:alpha val="20000"/>
                  </a:prstClr>
                </a:outerShdw>
              </a:effectLst>
            </c:spPr>
          </c:dPt>
          <c:dPt>
            <c:idx val="5"/>
            <c:bubble3D val="0"/>
            <c:spPr>
              <a:solidFill>
                <a:schemeClr val="accent4">
                  <a:lumMod val="60000"/>
                </a:schemeClr>
              </a:solidFill>
              <a:ln>
                <a:noFill/>
              </a:ln>
              <a:effectLst>
                <a:outerShdw blurRad="63500" sx="102000" sy="102000" algn="ctr" rotWithShape="0">
                  <a:prstClr val="black">
                    <a:alpha val="20000"/>
                  </a:prstClr>
                </a:outerShdw>
              </a:effectLst>
            </c:spPr>
          </c:dPt>
          <c:dPt>
            <c:idx val="6"/>
            <c:bubble3D val="0"/>
            <c:spPr>
              <a:solidFill>
                <a:schemeClr val="accent6">
                  <a:lumMod val="80000"/>
                  <a:lumOff val="20000"/>
                </a:schemeClr>
              </a:solidFill>
              <a:ln>
                <a:noFill/>
              </a:ln>
              <a:effectLst>
                <a:outerShdw blurRad="63500" sx="102000" sy="102000" algn="ctr" rotWithShape="0">
                  <a:prstClr val="black">
                    <a:alpha val="20000"/>
                  </a:prstClr>
                </a:outerShdw>
              </a:effectLst>
            </c:spPr>
          </c:dPt>
          <c:dPt>
            <c:idx val="7"/>
            <c:bubble3D val="0"/>
            <c:spPr>
              <a:solidFill>
                <a:schemeClr val="accent5">
                  <a:lumMod val="80000"/>
                  <a:lumOff val="20000"/>
                </a:schemeClr>
              </a:solidFill>
              <a:ln>
                <a:noFill/>
              </a:ln>
              <a:effectLst>
                <a:outerShdw blurRad="63500" sx="102000" sy="102000" algn="ctr" rotWithShape="0">
                  <a:prstClr val="black">
                    <a:alpha val="20000"/>
                  </a:prstClr>
                </a:outerShdw>
              </a:effectLst>
            </c:spPr>
          </c:dPt>
          <c:dPt>
            <c:idx val="8"/>
            <c:bubble3D val="0"/>
            <c:spPr>
              <a:solidFill>
                <a:schemeClr val="accent4">
                  <a:lumMod val="80000"/>
                  <a:lumOff val="20000"/>
                </a:schemeClr>
              </a:solidFill>
              <a:ln>
                <a:noFill/>
              </a:ln>
              <a:effectLst>
                <a:outerShdw blurRad="63500" sx="102000" sy="102000" algn="ctr" rotWithShape="0">
                  <a:prstClr val="black">
                    <a:alpha val="20000"/>
                  </a:prstClr>
                </a:outerShdw>
              </a:effectLst>
            </c:spPr>
          </c:dPt>
          <c:dPt>
            <c:idx val="9"/>
            <c:bubble3D val="0"/>
            <c:spPr>
              <a:solidFill>
                <a:schemeClr val="accent6">
                  <a:lumMod val="80000"/>
                </a:schemeClr>
              </a:solidFill>
              <a:ln>
                <a:noFill/>
              </a:ln>
              <a:effectLst>
                <a:outerShdw blurRad="63500" sx="102000" sy="102000" algn="ctr" rotWithShape="0">
                  <a:prstClr val="black">
                    <a:alpha val="20000"/>
                  </a:prstClr>
                </a:outerShdw>
              </a:effectLst>
            </c:spPr>
          </c:dPt>
          <c:dPt>
            <c:idx val="10"/>
            <c:bubble3D val="0"/>
            <c:spPr>
              <a:solidFill>
                <a:schemeClr val="accent5">
                  <a:lumMod val="80000"/>
                </a:schemeClr>
              </a:solidFill>
              <a:ln>
                <a:noFill/>
              </a:ln>
              <a:effectLst>
                <a:outerShdw blurRad="63500" sx="102000" sy="102000" algn="ctr" rotWithShape="0">
                  <a:prstClr val="black">
                    <a:alpha val="20000"/>
                  </a:prstClr>
                </a:outerShdw>
              </a:effectLst>
            </c:spPr>
          </c:dPt>
          <c:dLbls>
            <c:dLbl>
              <c:idx val="0"/>
              <c:layout>
                <c:manualLayout>
                  <c:x val="-1.4652011834672237E-2"/>
                  <c:y val="-7.673859752055796E-3"/>
                </c:manualLayout>
              </c:layout>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6"/>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1"/>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solidFill>
                      <a:latin typeface="+mn-lt"/>
                      <a:ea typeface="+mn-ea"/>
                      <a:cs typeface="+mn-cs"/>
                    </a:defRPr>
                  </a:pPr>
                  <a:endParaRPr lang="ru-RU"/>
                </a:p>
              </c:txPr>
              <c:dLblPos val="outEnd"/>
              <c:showLegendKey val="0"/>
              <c:showVal val="1"/>
              <c:showCatName val="1"/>
              <c:showSerName val="0"/>
              <c:showPercent val="0"/>
              <c:showBubbleSize val="0"/>
            </c:dLbl>
            <c:dLbl>
              <c:idx val="2"/>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4"/>
                      </a:solidFill>
                      <a:latin typeface="+mn-lt"/>
                      <a:ea typeface="+mn-ea"/>
                      <a:cs typeface="+mn-cs"/>
                    </a:defRPr>
                  </a:pPr>
                  <a:endParaRPr lang="ru-RU"/>
                </a:p>
              </c:txPr>
              <c:dLblPos val="outEnd"/>
              <c:showLegendKey val="0"/>
              <c:showVal val="1"/>
              <c:showCatName val="1"/>
              <c:showSerName val="0"/>
              <c:showPercent val="0"/>
              <c:showBubbleSize val="0"/>
            </c:dLbl>
            <c:dLbl>
              <c:idx val="3"/>
              <c:layout>
                <c:manualLayout>
                  <c:x val="7.3260059173361185E-3"/>
                  <c:y val="-1.1510789628083598E-2"/>
                </c:manualLayout>
              </c:layout>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6">
                          <a:lumMod val="6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1.6939528128604178E-2"/>
                  <c:y val="1.0655562119038425E-2"/>
                </c:manualLayout>
              </c:layout>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lumMod val="6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5"/>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4">
                          <a:lumMod val="60000"/>
                        </a:schemeClr>
                      </a:solidFill>
                      <a:latin typeface="+mn-lt"/>
                      <a:ea typeface="+mn-ea"/>
                      <a:cs typeface="+mn-cs"/>
                    </a:defRPr>
                  </a:pPr>
                  <a:endParaRPr lang="ru-RU"/>
                </a:p>
              </c:txPr>
              <c:dLblPos val="outEnd"/>
              <c:showLegendKey val="0"/>
              <c:showVal val="1"/>
              <c:showCatName val="1"/>
              <c:showSerName val="0"/>
              <c:showPercent val="0"/>
              <c:showBubbleSize val="0"/>
            </c:dLbl>
            <c:dLbl>
              <c:idx val="6"/>
              <c:layout>
                <c:manualLayout>
                  <c:x val="2.9304029304029214E-2"/>
                  <c:y val="-1.3429940597409975E-2"/>
                </c:manualLayout>
              </c:layout>
              <c:spPr>
                <a:noFill/>
                <a:ln w="25367">
                  <a:noFill/>
                </a:ln>
              </c:spPr>
              <c:txPr>
                <a:bodyPr rot="0" spcFirstLastPara="1" vertOverflow="ellipsis" vert="horz" wrap="square" lIns="38100" tIns="19050" rIns="38100" bIns="19050" anchor="ctr" anchorCtr="1">
                  <a:noAutofit/>
                </a:bodyPr>
                <a:lstStyle/>
                <a:p>
                  <a:pPr>
                    <a:defRPr sz="998" b="1" i="0" u="none" strike="noStrike" kern="1200" spc="0" baseline="0">
                      <a:solidFill>
                        <a:schemeClr val="accent6">
                          <a:lumMod val="80000"/>
                          <a:lumOff val="2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7"/>
              <c:layout>
                <c:manualLayout>
                  <c:x val="2.7396190860757702E-2"/>
                  <c:y val="7.7286818426284586E-3"/>
                </c:manualLayout>
              </c:layout>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lumMod val="80000"/>
                          <a:lumOff val="2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0"/>
                  <c:y val="3.0695439008222972E-2"/>
                </c:manualLayout>
              </c:layout>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4">
                          <a:lumMod val="80000"/>
                          <a:lumOff val="20000"/>
                        </a:schemeClr>
                      </a:solidFill>
                      <a:latin typeface="+mn-lt"/>
                      <a:ea typeface="+mn-ea"/>
                      <a:cs typeface="+mn-cs"/>
                    </a:defRPr>
                  </a:pPr>
                  <a:endParaRPr lang="ru-RU"/>
                </a:p>
              </c:txPr>
              <c:dLblPos val="bestFit"/>
              <c:showLegendKey val="0"/>
              <c:showVal val="1"/>
              <c:showCatName val="1"/>
              <c:showSerName val="0"/>
              <c:showPercent val="0"/>
              <c:showBubbleSize val="0"/>
              <c:extLst>
                <c:ext xmlns:c15="http://schemas.microsoft.com/office/drawing/2012/chart" uri="{CE6537A1-D6FC-4f65-9D91-7224C49458BB}"/>
              </c:extLst>
            </c:dLbl>
            <c:dLbl>
              <c:idx val="9"/>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6">
                          <a:lumMod val="80000"/>
                        </a:schemeClr>
                      </a:solidFill>
                      <a:latin typeface="+mn-lt"/>
                      <a:ea typeface="+mn-ea"/>
                      <a:cs typeface="+mn-cs"/>
                    </a:defRPr>
                  </a:pPr>
                  <a:endParaRPr lang="ru-RU"/>
                </a:p>
              </c:txPr>
              <c:dLblPos val="outEnd"/>
              <c:showLegendKey val="0"/>
              <c:showVal val="1"/>
              <c:showCatName val="1"/>
              <c:showSerName val="0"/>
              <c:showPercent val="0"/>
              <c:showBubbleSize val="0"/>
            </c:dLbl>
            <c:dLbl>
              <c:idx val="10"/>
              <c:spPr>
                <a:noFill/>
                <a:ln w="25367">
                  <a:noFill/>
                </a:ln>
              </c:spPr>
              <c:txPr>
                <a:bodyPr rot="0" spcFirstLastPara="1" vertOverflow="ellipsis" vert="horz" wrap="square" lIns="38100" tIns="19050" rIns="38100" bIns="19050" anchor="ctr" anchorCtr="1">
                  <a:spAutoFit/>
                </a:bodyPr>
                <a:lstStyle/>
                <a:p>
                  <a:pPr>
                    <a:defRPr sz="998" b="1" i="0" u="none" strike="noStrike" kern="1200" spc="0" baseline="0">
                      <a:solidFill>
                        <a:schemeClr val="accent5">
                          <a:lumMod val="80000"/>
                        </a:schemeClr>
                      </a:solidFill>
                      <a:latin typeface="+mn-lt"/>
                      <a:ea typeface="+mn-ea"/>
                      <a:cs typeface="+mn-cs"/>
                    </a:defRPr>
                  </a:pPr>
                  <a:endParaRPr lang="ru-RU"/>
                </a:p>
              </c:txPr>
              <c:dLblPos val="outEnd"/>
              <c:showLegendKey val="0"/>
              <c:showVal val="1"/>
              <c:showCatName val="1"/>
              <c:showSerName val="0"/>
              <c:showPercent val="0"/>
              <c:showBubbleSize val="0"/>
            </c:dLbl>
            <c:spPr>
              <a:noFill/>
              <a:ln w="25367">
                <a:noFill/>
              </a:ln>
            </c:spPr>
            <c:dLblPos val="outEnd"/>
            <c:showLegendKey val="0"/>
            <c:showVal val="1"/>
            <c:showCatName val="1"/>
            <c:showSerName val="0"/>
            <c:showPercent val="0"/>
            <c:showBubbleSize val="0"/>
            <c:showLeaderLines val="1"/>
            <c:leaderLines>
              <c:spPr>
                <a:ln w="9508"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Лист1!$A$62:$A$72</c:f>
              <c:strCache>
                <c:ptCount val="11"/>
                <c:pt idx="0">
                  <c:v>Канада</c:v>
                </c:pt>
                <c:pt idx="1">
                  <c:v>Китай</c:v>
                </c:pt>
                <c:pt idx="2">
                  <c:v>Япония</c:v>
                </c:pt>
                <c:pt idx="3">
                  <c:v>Индия</c:v>
                </c:pt>
                <c:pt idx="4">
                  <c:v>Тайвань</c:v>
                </c:pt>
                <c:pt idx="5">
                  <c:v>Россия</c:v>
                </c:pt>
                <c:pt idx="6">
                  <c:v>Южная Африка</c:v>
                </c:pt>
                <c:pt idx="7">
                  <c:v>Южная Корея</c:v>
                </c:pt>
                <c:pt idx="8">
                  <c:v>Саудовская Аравия</c:v>
                </c:pt>
                <c:pt idx="9">
                  <c:v>США</c:v>
                </c:pt>
                <c:pt idx="10">
                  <c:v>Европа</c:v>
                </c:pt>
              </c:strCache>
            </c:strRef>
          </c:cat>
          <c:val>
            <c:numRef>
              <c:f>Лист1!$I$62:$I$72</c:f>
              <c:numCache>
                <c:formatCode>General</c:formatCode>
                <c:ptCount val="11"/>
                <c:pt idx="0">
                  <c:v>1</c:v>
                </c:pt>
                <c:pt idx="1">
                  <c:v>7</c:v>
                </c:pt>
                <c:pt idx="2">
                  <c:v>17</c:v>
                </c:pt>
                <c:pt idx="3">
                  <c:v>1</c:v>
                </c:pt>
                <c:pt idx="4">
                  <c:v>1</c:v>
                </c:pt>
                <c:pt idx="5">
                  <c:v>4</c:v>
                </c:pt>
                <c:pt idx="6">
                  <c:v>1</c:v>
                </c:pt>
                <c:pt idx="7">
                  <c:v>2</c:v>
                </c:pt>
                <c:pt idx="8">
                  <c:v>1</c:v>
                </c:pt>
                <c:pt idx="9">
                  <c:v>33</c:v>
                </c:pt>
                <c:pt idx="10">
                  <c:v>31</c:v>
                </c:pt>
              </c:numCache>
            </c:numRef>
          </c:val>
        </c:ser>
        <c:dLbls>
          <c:showLegendKey val="0"/>
          <c:showVal val="0"/>
          <c:showCatName val="0"/>
          <c:showSerName val="0"/>
          <c:showPercent val="0"/>
          <c:showBubbleSize val="0"/>
          <c:showLeaderLines val="1"/>
        </c:dLbls>
        <c:firstSliceAng val="0"/>
      </c:pieChart>
      <c:spPr>
        <a:noFill/>
        <a:ln w="25367">
          <a:noFill/>
        </a:ln>
      </c:spPr>
    </c:plotArea>
    <c:plotVisOnly val="1"/>
    <c:dispBlanksAs val="gap"/>
    <c:showDLblsOverMax val="0"/>
  </c:chart>
  <c:spPr>
    <a:solidFill>
      <a:schemeClr val="bg1"/>
    </a:solidFill>
    <a:ln w="9508"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Число пролеченных, всего</c:v>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w="25377">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Лист1!$A$120:$A$126</c:f>
              <c:numCache>
                <c:formatCode>General</c:formatCode>
                <c:ptCount val="7"/>
                <c:pt idx="0">
                  <c:v>2008</c:v>
                </c:pt>
                <c:pt idx="1">
                  <c:v>2009</c:v>
                </c:pt>
                <c:pt idx="2">
                  <c:v>2010</c:v>
                </c:pt>
                <c:pt idx="3">
                  <c:v>2011</c:v>
                </c:pt>
                <c:pt idx="4">
                  <c:v>2012</c:v>
                </c:pt>
                <c:pt idx="5">
                  <c:v>2013</c:v>
                </c:pt>
                <c:pt idx="6">
                  <c:v>2014</c:v>
                </c:pt>
              </c:numCache>
            </c:numRef>
          </c:cat>
          <c:val>
            <c:numRef>
              <c:f>Лист1!$B$120:$B$126</c:f>
              <c:numCache>
                <c:formatCode>General</c:formatCode>
                <c:ptCount val="7"/>
                <c:pt idx="0">
                  <c:v>61122</c:v>
                </c:pt>
                <c:pt idx="1">
                  <c:v>67097</c:v>
                </c:pt>
                <c:pt idx="2">
                  <c:v>73804</c:v>
                </c:pt>
                <c:pt idx="3">
                  <c:v>83667</c:v>
                </c:pt>
                <c:pt idx="4">
                  <c:v>93452</c:v>
                </c:pt>
                <c:pt idx="5">
                  <c:v>105743</c:v>
                </c:pt>
                <c:pt idx="6">
                  <c:v>119318</c:v>
                </c:pt>
              </c:numCache>
            </c:numRef>
          </c:val>
        </c:ser>
        <c:dLbls>
          <c:showLegendKey val="0"/>
          <c:showVal val="0"/>
          <c:showCatName val="0"/>
          <c:showSerName val="0"/>
          <c:showPercent val="0"/>
          <c:showBubbleSize val="0"/>
        </c:dLbls>
        <c:gapWidth val="219"/>
        <c:overlap val="-27"/>
        <c:axId val="706370176"/>
        <c:axId val="706392448"/>
      </c:barChart>
      <c:lineChart>
        <c:grouping val="stacked"/>
        <c:varyColors val="0"/>
        <c:ser>
          <c:idx val="1"/>
          <c:order val="1"/>
          <c:tx>
            <c:v>Число пролеченных за год</c:v>
          </c:tx>
          <c:spPr>
            <a:ln w="28543" cap="rnd">
              <a:solidFill>
                <a:schemeClr val="accent2"/>
              </a:solidFill>
              <a:round/>
            </a:ln>
            <a:effectLst/>
          </c:spPr>
          <c:marker>
            <c:symbol val="circle"/>
            <c:size val="4"/>
            <c:spPr>
              <a:solidFill>
                <a:srgbClr val="ED7D31"/>
              </a:solidFill>
              <a:ln w="6344">
                <a:noFill/>
              </a:ln>
            </c:spPr>
          </c:marker>
          <c:dLbls>
            <c:dLbl>
              <c:idx val="0"/>
              <c:layout>
                <c:manualLayout>
                  <c:x val="-1.6666666666666642E-2"/>
                  <c:y val="-2.777777777777777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393776181926946E-3"/>
                  <c:y val="-4.429417606582969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777722802602996E-3"/>
                  <c:y val="-0.10310314251259133"/>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00000000000001E-2"/>
                  <c:y val="-3.703703703703707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00000000000001E-2"/>
                  <c:y val="-7.870370370370366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5555555555555552E-2"/>
                  <c:y val="-5.555555555555560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888888888888889E-2"/>
                  <c:y val="-6.0185185185185182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w="25377">
                <a:noFill/>
              </a:ln>
            </c:spPr>
            <c:txPr>
              <a:bodyPr rot="0" spcFirstLastPara="1" vertOverflow="ellipsis" vert="horz" wrap="square" lIns="38100" tIns="19050" rIns="38100" bIns="19050" anchor="ctr" anchorCtr="1">
                <a:spAutoFit/>
              </a:bodyPr>
              <a:lstStyle/>
              <a:p>
                <a:pPr>
                  <a:defRPr sz="899" b="0" i="0" u="none" strike="noStrike" kern="1200" baseline="0">
                    <a:solidFill>
                      <a:srgbClr val="FF66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Лист1!$A$120:$A$126</c:f>
              <c:numCache>
                <c:formatCode>General</c:formatCode>
                <c:ptCount val="7"/>
                <c:pt idx="0">
                  <c:v>2008</c:v>
                </c:pt>
                <c:pt idx="1">
                  <c:v>2009</c:v>
                </c:pt>
                <c:pt idx="2">
                  <c:v>2010</c:v>
                </c:pt>
                <c:pt idx="3">
                  <c:v>2011</c:v>
                </c:pt>
                <c:pt idx="4">
                  <c:v>2012</c:v>
                </c:pt>
                <c:pt idx="5">
                  <c:v>2013</c:v>
                </c:pt>
                <c:pt idx="6">
                  <c:v>2014</c:v>
                </c:pt>
              </c:numCache>
            </c:numRef>
          </c:cat>
          <c:val>
            <c:numRef>
              <c:f>Лист1!$C$120:$C$126</c:f>
              <c:numCache>
                <c:formatCode>General</c:formatCode>
                <c:ptCount val="7"/>
                <c:pt idx="0">
                  <c:v>7304</c:v>
                </c:pt>
                <c:pt idx="1">
                  <c:v>5975</c:v>
                </c:pt>
                <c:pt idx="2">
                  <c:v>6707</c:v>
                </c:pt>
                <c:pt idx="3">
                  <c:v>9863</c:v>
                </c:pt>
                <c:pt idx="4">
                  <c:v>9785</c:v>
                </c:pt>
                <c:pt idx="5">
                  <c:v>12291</c:v>
                </c:pt>
                <c:pt idx="6">
                  <c:v>13575</c:v>
                </c:pt>
              </c:numCache>
            </c:numRef>
          </c:val>
          <c:smooth val="0"/>
        </c:ser>
        <c:dLbls>
          <c:showLegendKey val="0"/>
          <c:showVal val="0"/>
          <c:showCatName val="0"/>
          <c:showSerName val="0"/>
          <c:showPercent val="0"/>
          <c:showBubbleSize val="0"/>
        </c:dLbls>
        <c:marker val="1"/>
        <c:smooth val="0"/>
        <c:axId val="706393984"/>
        <c:axId val="706395520"/>
      </c:lineChart>
      <c:catAx>
        <c:axId val="706370176"/>
        <c:scaling>
          <c:orientation val="minMax"/>
        </c:scaling>
        <c:delete val="0"/>
        <c:axPos val="b"/>
        <c:numFmt formatCode="General" sourceLinked="1"/>
        <c:majorTickMark val="none"/>
        <c:minorTickMark val="none"/>
        <c:tickLblPos val="nextTo"/>
        <c:spPr>
          <a:noFill/>
          <a:ln w="19029" cap="flat" cmpd="sng" algn="ctr">
            <a:solidFill>
              <a:schemeClr val="tx1">
                <a:lumMod val="25000"/>
                <a:lumOff val="7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6392448"/>
        <c:crosses val="autoZero"/>
        <c:auto val="1"/>
        <c:lblAlgn val="ctr"/>
        <c:lblOffset val="100"/>
        <c:noMultiLvlLbl val="0"/>
      </c:catAx>
      <c:valAx>
        <c:axId val="706392448"/>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ln w="6344">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6370176"/>
        <c:crosses val="autoZero"/>
        <c:crossBetween val="between"/>
      </c:valAx>
      <c:catAx>
        <c:axId val="706393984"/>
        <c:scaling>
          <c:orientation val="minMax"/>
        </c:scaling>
        <c:delete val="1"/>
        <c:axPos val="b"/>
        <c:numFmt formatCode="General" sourceLinked="1"/>
        <c:majorTickMark val="out"/>
        <c:minorTickMark val="none"/>
        <c:tickLblPos val="nextTo"/>
        <c:crossAx val="706395520"/>
        <c:crosses val="autoZero"/>
        <c:auto val="1"/>
        <c:lblAlgn val="ctr"/>
        <c:lblOffset val="100"/>
        <c:noMultiLvlLbl val="0"/>
      </c:catAx>
      <c:valAx>
        <c:axId val="706395520"/>
        <c:scaling>
          <c:orientation val="minMax"/>
        </c:scaling>
        <c:delete val="0"/>
        <c:axPos val="r"/>
        <c:numFmt formatCode="General" sourceLinked="1"/>
        <c:majorTickMark val="out"/>
        <c:minorTickMark val="none"/>
        <c:tickLblPos val="nextTo"/>
        <c:spPr>
          <a:ln w="6344">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6393984"/>
        <c:crosses val="max"/>
        <c:crossBetween val="between"/>
      </c:valAx>
      <c:spPr>
        <a:noFill/>
        <a:ln w="25377">
          <a:noFill/>
        </a:ln>
      </c:spPr>
    </c:plotArea>
    <c:legend>
      <c:legendPos val="b"/>
      <c:overlay val="0"/>
      <c:spPr>
        <a:noFill/>
        <a:ln w="25377">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1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30" b="1" i="0" u="none" strike="noStrike" kern="1200" baseline="0">
                <a:solidFill>
                  <a:schemeClr val="dk1">
                    <a:lumMod val="65000"/>
                    <a:lumOff val="35000"/>
                  </a:schemeClr>
                </a:solidFill>
                <a:latin typeface="+mn-lt"/>
                <a:ea typeface="+mn-ea"/>
                <a:cs typeface="+mn-cs"/>
              </a:defRPr>
            </a:pPr>
            <a:r>
              <a:rPr lang="ru-RU" sz="1415"/>
              <a:t>Япония </a:t>
            </a:r>
          </a:p>
          <a:p>
            <a:pPr>
              <a:defRPr sz="1430" b="1" i="0" u="none" strike="noStrike" kern="1200" baseline="0">
                <a:solidFill>
                  <a:schemeClr val="dk1">
                    <a:lumMod val="65000"/>
                    <a:lumOff val="35000"/>
                  </a:schemeClr>
                </a:solidFill>
                <a:latin typeface="+mn-lt"/>
                <a:ea typeface="+mn-ea"/>
                <a:cs typeface="+mn-cs"/>
              </a:defRPr>
            </a:pPr>
            <a:r>
              <a:rPr lang="ru-RU" sz="1415"/>
              <a:t>(83 года)</a:t>
            </a:r>
          </a:p>
        </c:rich>
      </c:tx>
      <c:overlay val="0"/>
      <c:spPr>
        <a:noFill/>
        <a:ln w="25552">
          <a:noFill/>
        </a:ln>
      </c:spPr>
    </c:title>
    <c:autoTitleDeleted val="0"/>
    <c:plotArea>
      <c:layout/>
      <c:pieChart>
        <c:varyColors val="1"/>
        <c:ser>
          <c:idx val="0"/>
          <c:order val="0"/>
          <c:tx>
            <c:strRef>
              <c:f>Лист1!$B$1</c:f>
              <c:strCache>
                <c:ptCount val="1"/>
                <c:pt idx="0">
                  <c:v>Германия</c:v>
                </c:pt>
              </c:strCache>
            </c:strRef>
          </c:tx>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w="25552">
                <a:noFill/>
              </a:ln>
            </c:spPr>
            <c:txPr>
              <a:bodyPr rot="0" spcFirstLastPara="1" vertOverflow="ellipsis" vert="horz" wrap="square" lIns="38100" tIns="19050" rIns="38100" bIns="19050" anchor="ctr" anchorCtr="1">
                <a:spAutoFit/>
              </a:bodyPr>
              <a:lstStyle/>
              <a:p>
                <a:pPr>
                  <a:defRPr sz="91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631"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До 65 лет</c:v>
                </c:pt>
                <c:pt idx="1">
                  <c:v>После 65 лет</c:v>
                </c:pt>
              </c:strCache>
            </c:strRef>
          </c:cat>
          <c:val>
            <c:numRef>
              <c:f>Лист1!$B$2:$B$3</c:f>
              <c:numCache>
                <c:formatCode>General</c:formatCode>
                <c:ptCount val="2"/>
                <c:pt idx="0">
                  <c:v>193580</c:v>
                </c:pt>
                <c:pt idx="1">
                  <c:v>510283</c:v>
                </c:pt>
              </c:numCache>
            </c:numRef>
          </c:val>
        </c:ser>
        <c:dLbls>
          <c:showLegendKey val="0"/>
          <c:showVal val="0"/>
          <c:showCatName val="0"/>
          <c:showSerName val="0"/>
          <c:showPercent val="0"/>
          <c:showBubbleSize val="0"/>
          <c:showLeaderLines val="1"/>
        </c:dLbls>
        <c:firstSliceAng val="0"/>
      </c:pieChart>
      <c:spPr>
        <a:noFill/>
        <a:ln w="25552">
          <a:noFill/>
        </a:ln>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1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631"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30" b="1" i="0" u="none" strike="noStrike" kern="1200" baseline="0">
                <a:solidFill>
                  <a:schemeClr val="dk1">
                    <a:lumMod val="65000"/>
                    <a:lumOff val="35000"/>
                  </a:schemeClr>
                </a:solidFill>
                <a:latin typeface="+mn-lt"/>
                <a:ea typeface="+mn-ea"/>
                <a:cs typeface="+mn-cs"/>
              </a:defRPr>
            </a:pPr>
            <a:r>
              <a:rPr lang="ru-RU" sz="1415"/>
              <a:t>США</a:t>
            </a:r>
          </a:p>
          <a:p>
            <a:pPr>
              <a:defRPr sz="1430" b="1" i="0" u="none" strike="noStrike" kern="1200" baseline="0">
                <a:solidFill>
                  <a:schemeClr val="dk1">
                    <a:lumMod val="65000"/>
                    <a:lumOff val="35000"/>
                  </a:schemeClr>
                </a:solidFill>
                <a:latin typeface="+mn-lt"/>
                <a:ea typeface="+mn-ea"/>
                <a:cs typeface="+mn-cs"/>
              </a:defRPr>
            </a:pPr>
            <a:r>
              <a:rPr lang="ru-RU" sz="1415"/>
              <a:t>(79 лет)</a:t>
            </a:r>
          </a:p>
        </c:rich>
      </c:tx>
      <c:overlay val="0"/>
      <c:spPr>
        <a:noFill/>
        <a:ln w="25552">
          <a:noFill/>
        </a:ln>
      </c:spPr>
    </c:title>
    <c:autoTitleDeleted val="0"/>
    <c:plotArea>
      <c:layout/>
      <c:pieChart>
        <c:varyColors val="1"/>
        <c:ser>
          <c:idx val="0"/>
          <c:order val="0"/>
          <c:tx>
            <c:strRef>
              <c:f>Лист1!$B$1</c:f>
              <c:strCache>
                <c:ptCount val="1"/>
                <c:pt idx="0">
                  <c:v>США (78,1 лет)</c:v>
                </c:pt>
              </c:strCache>
            </c:strRef>
          </c:tx>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w="25552">
                <a:noFill/>
              </a:ln>
            </c:spPr>
            <c:txPr>
              <a:bodyPr rot="0" spcFirstLastPara="1" vertOverflow="ellipsis" vert="horz" wrap="square" lIns="38100" tIns="19050" rIns="38100" bIns="19050" anchor="ctr" anchorCtr="1">
                <a:spAutoFit/>
              </a:bodyPr>
              <a:lstStyle/>
              <a:p>
                <a:pPr>
                  <a:defRPr sz="91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631"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До 65 лет</c:v>
                </c:pt>
                <c:pt idx="1">
                  <c:v>После 65 лет</c:v>
                </c:pt>
              </c:strCache>
            </c:strRef>
          </c:cat>
          <c:val>
            <c:numRef>
              <c:f>Лист1!$B$2:$B$3</c:f>
              <c:numCache>
                <c:formatCode>General</c:formatCode>
                <c:ptCount val="2"/>
                <c:pt idx="0">
                  <c:v>757779</c:v>
                </c:pt>
                <c:pt idx="1">
                  <c:v>845807</c:v>
                </c:pt>
              </c:numCache>
            </c:numRef>
          </c:val>
        </c:ser>
        <c:dLbls>
          <c:showLegendKey val="0"/>
          <c:showVal val="0"/>
          <c:showCatName val="0"/>
          <c:showSerName val="0"/>
          <c:showPercent val="0"/>
          <c:showBubbleSize val="0"/>
          <c:showLeaderLines val="1"/>
        </c:dLbls>
        <c:firstSliceAng val="0"/>
      </c:pieChart>
      <c:spPr>
        <a:noFill/>
        <a:ln w="25552">
          <a:noFill/>
        </a:ln>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1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631"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30" b="1" i="0" u="none" strike="noStrike" kern="1200" baseline="0">
                <a:solidFill>
                  <a:schemeClr val="dk1">
                    <a:lumMod val="65000"/>
                    <a:lumOff val="35000"/>
                  </a:schemeClr>
                </a:solidFill>
                <a:latin typeface="+mn-lt"/>
                <a:ea typeface="+mn-ea"/>
                <a:cs typeface="+mn-cs"/>
              </a:defRPr>
            </a:pPr>
            <a:r>
              <a:rPr lang="ru-RU" sz="1415"/>
              <a:t>Германия </a:t>
            </a:r>
          </a:p>
          <a:p>
            <a:pPr>
              <a:defRPr sz="1430" b="1" i="0" u="none" strike="noStrike" kern="1200" baseline="0">
                <a:solidFill>
                  <a:schemeClr val="dk1">
                    <a:lumMod val="65000"/>
                    <a:lumOff val="35000"/>
                  </a:schemeClr>
                </a:solidFill>
                <a:latin typeface="+mn-lt"/>
                <a:ea typeface="+mn-ea"/>
                <a:cs typeface="+mn-cs"/>
              </a:defRPr>
            </a:pPr>
            <a:r>
              <a:rPr lang="ru-RU" sz="1415"/>
              <a:t>(81 год)</a:t>
            </a:r>
          </a:p>
        </c:rich>
      </c:tx>
      <c:overlay val="0"/>
      <c:spPr>
        <a:noFill/>
        <a:ln w="25552">
          <a:noFill/>
        </a:ln>
      </c:spPr>
    </c:title>
    <c:autoTitleDeleted val="0"/>
    <c:plotArea>
      <c:layout/>
      <c:pieChart>
        <c:varyColors val="1"/>
        <c:ser>
          <c:idx val="0"/>
          <c:order val="0"/>
          <c:tx>
            <c:strRef>
              <c:f>Лист1!$B$1</c:f>
              <c:strCache>
                <c:ptCount val="1"/>
                <c:pt idx="0">
                  <c:v>Германия (79,05 лет)</c:v>
                </c:pt>
              </c:strCache>
            </c:strRef>
          </c:tx>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w="25552">
                <a:noFill/>
              </a:ln>
            </c:spPr>
            <c:txPr>
              <a:bodyPr rot="0" spcFirstLastPara="1" vertOverflow="ellipsis" vert="horz" wrap="square" lIns="38100" tIns="19050" rIns="38100" bIns="19050" anchor="ctr" anchorCtr="1">
                <a:spAutoFit/>
              </a:bodyPr>
              <a:lstStyle/>
              <a:p>
                <a:pPr>
                  <a:defRPr sz="91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631"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До 65 лет</c:v>
                </c:pt>
                <c:pt idx="1">
                  <c:v>После 65 лет</c:v>
                </c:pt>
              </c:strCache>
            </c:strRef>
          </c:cat>
          <c:val>
            <c:numRef>
              <c:f>Лист1!$B$2:$B$3</c:f>
              <c:numCache>
                <c:formatCode>General</c:formatCode>
                <c:ptCount val="2"/>
                <c:pt idx="0">
                  <c:v>187580</c:v>
                </c:pt>
                <c:pt idx="1">
                  <c:v>306200</c:v>
                </c:pt>
              </c:numCache>
            </c:numRef>
          </c:val>
        </c:ser>
        <c:dLbls>
          <c:showLegendKey val="0"/>
          <c:showVal val="0"/>
          <c:showCatName val="0"/>
          <c:showSerName val="0"/>
          <c:showPercent val="0"/>
          <c:showBubbleSize val="0"/>
          <c:showLeaderLines val="1"/>
        </c:dLbls>
        <c:firstSliceAng val="0"/>
      </c:pieChart>
      <c:spPr>
        <a:noFill/>
        <a:ln w="25552">
          <a:noFill/>
        </a:ln>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1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631"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30" b="1" i="0" u="none" strike="noStrike" kern="1200" baseline="0">
                <a:solidFill>
                  <a:schemeClr val="dk1">
                    <a:lumMod val="65000"/>
                    <a:lumOff val="35000"/>
                  </a:schemeClr>
                </a:solidFill>
                <a:latin typeface="+mn-lt"/>
                <a:ea typeface="+mn-ea"/>
                <a:cs typeface="+mn-cs"/>
              </a:defRPr>
            </a:pPr>
            <a:r>
              <a:rPr lang="ru-RU" sz="1415"/>
              <a:t>Россия</a:t>
            </a:r>
          </a:p>
          <a:p>
            <a:pPr>
              <a:defRPr sz="1430" b="1" i="0" u="none" strike="noStrike" kern="1200" baseline="0">
                <a:solidFill>
                  <a:schemeClr val="dk1">
                    <a:lumMod val="65000"/>
                    <a:lumOff val="35000"/>
                  </a:schemeClr>
                </a:solidFill>
                <a:latin typeface="+mn-lt"/>
                <a:ea typeface="+mn-ea"/>
                <a:cs typeface="+mn-cs"/>
              </a:defRPr>
            </a:pPr>
            <a:r>
              <a:rPr lang="ru-RU" sz="1415"/>
              <a:t>(70 лет)</a:t>
            </a:r>
          </a:p>
        </c:rich>
      </c:tx>
      <c:overlay val="0"/>
      <c:spPr>
        <a:noFill/>
        <a:ln w="25552">
          <a:noFill/>
        </a:ln>
      </c:spPr>
    </c:title>
    <c:autoTitleDeleted val="0"/>
    <c:plotArea>
      <c:layout/>
      <c:pieChart>
        <c:varyColors val="1"/>
        <c:ser>
          <c:idx val="0"/>
          <c:order val="0"/>
          <c:tx>
            <c:strRef>
              <c:f>Лист1!$B$1</c:f>
              <c:strCache>
                <c:ptCount val="1"/>
                <c:pt idx="0">
                  <c:v>Германия (79,05 лет)</c:v>
                </c:pt>
              </c:strCache>
            </c:strRef>
          </c:tx>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w="25552">
                <a:noFill/>
              </a:ln>
            </c:spPr>
            <c:txPr>
              <a:bodyPr rot="0" spcFirstLastPara="1" vertOverflow="ellipsis" vert="horz" wrap="square" lIns="38100" tIns="19050" rIns="38100" bIns="19050" anchor="ctr" anchorCtr="1">
                <a:spAutoFit/>
              </a:bodyPr>
              <a:lstStyle/>
              <a:p>
                <a:pPr>
                  <a:defRPr sz="91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631"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До 65 лет</c:v>
                </c:pt>
                <c:pt idx="1">
                  <c:v>После 65 лет</c:v>
                </c:pt>
              </c:strCache>
            </c:strRef>
          </c:cat>
          <c:val>
            <c:numRef>
              <c:f>Лист1!$B$2:$B$3</c:f>
              <c:numCache>
                <c:formatCode>General</c:formatCode>
                <c:ptCount val="2"/>
                <c:pt idx="0">
                  <c:v>248038</c:v>
                </c:pt>
                <c:pt idx="1">
                  <c:v>210344</c:v>
                </c:pt>
              </c:numCache>
            </c:numRef>
          </c:val>
        </c:ser>
        <c:dLbls>
          <c:showLegendKey val="0"/>
          <c:showVal val="0"/>
          <c:showCatName val="0"/>
          <c:showSerName val="0"/>
          <c:showPercent val="0"/>
          <c:showBubbleSize val="0"/>
          <c:showLeaderLines val="1"/>
        </c:dLbls>
        <c:firstSliceAng val="0"/>
      </c:pieChart>
      <c:spPr>
        <a:noFill/>
        <a:ln w="25552">
          <a:noFill/>
        </a:ln>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1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631"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30" b="1" i="0" u="none" strike="noStrike" kern="1200" baseline="0">
                <a:solidFill>
                  <a:schemeClr val="dk1">
                    <a:lumMod val="65000"/>
                    <a:lumOff val="35000"/>
                  </a:schemeClr>
                </a:solidFill>
                <a:latin typeface="+mn-lt"/>
                <a:ea typeface="+mn-ea"/>
                <a:cs typeface="+mn-cs"/>
              </a:defRPr>
            </a:pPr>
            <a:r>
              <a:rPr lang="ru-RU" sz="1415"/>
              <a:t>Индия</a:t>
            </a:r>
          </a:p>
          <a:p>
            <a:pPr>
              <a:defRPr sz="1430" b="1" i="0" u="none" strike="noStrike" kern="1200" baseline="0">
                <a:solidFill>
                  <a:schemeClr val="dk1">
                    <a:lumMod val="65000"/>
                    <a:lumOff val="35000"/>
                  </a:schemeClr>
                </a:solidFill>
                <a:latin typeface="+mn-lt"/>
                <a:ea typeface="+mn-ea"/>
                <a:cs typeface="+mn-cs"/>
              </a:defRPr>
            </a:pPr>
            <a:r>
              <a:rPr lang="ru-RU" sz="1415"/>
              <a:t>(66 лет)</a:t>
            </a:r>
          </a:p>
        </c:rich>
      </c:tx>
      <c:overlay val="0"/>
      <c:spPr>
        <a:noFill/>
        <a:ln w="25552">
          <a:noFill/>
        </a:ln>
      </c:spPr>
    </c:title>
    <c:autoTitleDeleted val="0"/>
    <c:plotArea>
      <c:layout/>
      <c:pieChart>
        <c:varyColors val="1"/>
        <c:ser>
          <c:idx val="0"/>
          <c:order val="0"/>
          <c:tx>
            <c:strRef>
              <c:f>Лист1!$B$1</c:f>
              <c:strCache>
                <c:ptCount val="1"/>
                <c:pt idx="0">
                  <c:v>США (78,1 лет)</c:v>
                </c:pt>
              </c:strCache>
            </c:strRef>
          </c:tx>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w="25552">
                <a:noFill/>
              </a:ln>
            </c:spPr>
            <c:txPr>
              <a:bodyPr rot="0" spcFirstLastPara="1" vertOverflow="ellipsis" vert="horz" wrap="square" lIns="38100" tIns="19050" rIns="38100" bIns="19050" anchor="ctr" anchorCtr="1">
                <a:spAutoFit/>
              </a:bodyPr>
              <a:lstStyle/>
              <a:p>
                <a:pPr>
                  <a:defRPr sz="91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631"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До 65 лет</c:v>
                </c:pt>
                <c:pt idx="1">
                  <c:v>После 65 лет</c:v>
                </c:pt>
              </c:strCache>
            </c:strRef>
          </c:cat>
          <c:val>
            <c:numRef>
              <c:f>Лист1!$B$2:$B$3</c:f>
              <c:numCache>
                <c:formatCode>General</c:formatCode>
                <c:ptCount val="2"/>
                <c:pt idx="0">
                  <c:v>728490</c:v>
                </c:pt>
                <c:pt idx="1">
                  <c:v>286444</c:v>
                </c:pt>
              </c:numCache>
            </c:numRef>
          </c:val>
        </c:ser>
        <c:dLbls>
          <c:showLegendKey val="0"/>
          <c:showVal val="0"/>
          <c:showCatName val="0"/>
          <c:showSerName val="0"/>
          <c:showPercent val="0"/>
          <c:showBubbleSize val="0"/>
          <c:showLeaderLines val="1"/>
        </c:dLbls>
        <c:firstSliceAng val="0"/>
      </c:pieChart>
      <c:spPr>
        <a:noFill/>
        <a:ln w="25552">
          <a:noFill/>
        </a:ln>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1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631"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30" b="1" i="0" u="none" strike="noStrike" kern="1200" baseline="0">
                <a:solidFill>
                  <a:schemeClr val="dk1">
                    <a:lumMod val="65000"/>
                    <a:lumOff val="35000"/>
                  </a:schemeClr>
                </a:solidFill>
                <a:latin typeface="+mn-lt"/>
                <a:ea typeface="+mn-ea"/>
                <a:cs typeface="+mn-cs"/>
              </a:defRPr>
            </a:pPr>
            <a:r>
              <a:rPr lang="ru-RU" sz="1415"/>
              <a:t>ЮАР  </a:t>
            </a:r>
          </a:p>
          <a:p>
            <a:pPr>
              <a:defRPr sz="1430" b="1" i="0" u="none" strike="noStrike" kern="1200" baseline="0">
                <a:solidFill>
                  <a:schemeClr val="dk1">
                    <a:lumMod val="65000"/>
                    <a:lumOff val="35000"/>
                  </a:schemeClr>
                </a:solidFill>
                <a:latin typeface="+mn-lt"/>
                <a:ea typeface="+mn-ea"/>
                <a:cs typeface="+mn-cs"/>
              </a:defRPr>
            </a:pPr>
            <a:r>
              <a:rPr lang="ru-RU" sz="1415"/>
              <a:t>(56 лет)</a:t>
            </a:r>
          </a:p>
        </c:rich>
      </c:tx>
      <c:overlay val="0"/>
      <c:spPr>
        <a:noFill/>
        <a:ln w="25552">
          <a:noFill/>
        </a:ln>
      </c:spPr>
    </c:title>
    <c:autoTitleDeleted val="0"/>
    <c:plotArea>
      <c:layout/>
      <c:pieChart>
        <c:varyColors val="1"/>
        <c:ser>
          <c:idx val="0"/>
          <c:order val="0"/>
          <c:tx>
            <c:strRef>
              <c:f>Лист1!$B$1</c:f>
              <c:strCache>
                <c:ptCount val="1"/>
                <c:pt idx="0">
                  <c:v>Германия</c:v>
                </c:pt>
              </c:strCache>
            </c:strRef>
          </c:tx>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w="25552">
                <a:noFill/>
              </a:ln>
            </c:spPr>
            <c:txPr>
              <a:bodyPr rot="0" spcFirstLastPara="1" vertOverflow="ellipsis" vert="horz" wrap="square" lIns="38100" tIns="19050" rIns="38100" bIns="19050" anchor="ctr" anchorCtr="1">
                <a:spAutoFit/>
              </a:bodyPr>
              <a:lstStyle/>
              <a:p>
                <a:pPr>
                  <a:defRPr sz="91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631"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До 65 лет</c:v>
                </c:pt>
                <c:pt idx="1">
                  <c:v>После 65 лет</c:v>
                </c:pt>
              </c:strCache>
            </c:strRef>
          </c:cat>
          <c:val>
            <c:numRef>
              <c:f>Лист1!$B$2:$B$3</c:f>
              <c:numCache>
                <c:formatCode>General</c:formatCode>
                <c:ptCount val="2"/>
                <c:pt idx="0">
                  <c:v>48088</c:v>
                </c:pt>
                <c:pt idx="1">
                  <c:v>29352</c:v>
                </c:pt>
              </c:numCache>
            </c:numRef>
          </c:val>
        </c:ser>
        <c:dLbls>
          <c:showLegendKey val="0"/>
          <c:showVal val="0"/>
          <c:showCatName val="0"/>
          <c:showSerName val="0"/>
          <c:showPercent val="0"/>
          <c:showBubbleSize val="0"/>
          <c:showLeaderLines val="1"/>
        </c:dLbls>
        <c:firstSliceAng val="0"/>
      </c:pieChart>
      <c:spPr>
        <a:noFill/>
        <a:ln w="25552">
          <a:noFill/>
        </a:ln>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1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631"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Лист1!$B$1</c:f>
              <c:strCache>
                <c:ptCount val="1"/>
                <c:pt idx="0">
                  <c:v>Всего</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dLbl>
              <c:idx val="0"/>
              <c:layout>
                <c:manualLayout>
                  <c:x val="-2.3148148148148255E-3"/>
                  <c:y val="-0.17922765801815757"/>
                </c:manualLayout>
              </c:layout>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20097414052751603"/>
                </c:manualLayout>
              </c:layout>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 val="-4.2437781360066642E-17"/>
                  <c:y val="-0.2198747902413838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3"/>
              <c:layout>
                <c:manualLayout>
                  <c:x val="-4.2437781360066642E-17"/>
                  <c:y val="-0.22235790198356348"/>
                </c:manualLayout>
              </c:layout>
              <c:dLblPos val="ctr"/>
              <c:showLegendKey val="0"/>
              <c:showVal val="1"/>
              <c:showCatName val="0"/>
              <c:showSerName val="0"/>
              <c:showPercent val="0"/>
              <c:showBubbleSize val="0"/>
              <c:extLst>
                <c:ext xmlns:c15="http://schemas.microsoft.com/office/drawing/2012/chart" uri="{CE6537A1-D6FC-4f65-9D91-7224C49458BB}"/>
              </c:extLst>
            </c:dLbl>
            <c:dLbl>
              <c:idx val="4"/>
              <c:layout>
                <c:manualLayout>
                  <c:x val="0"/>
                  <c:y val="-0.25469385998881289"/>
                </c:manualLayout>
              </c:layout>
              <c:dLblPos val="ctr"/>
              <c:showLegendKey val="0"/>
              <c:showVal val="1"/>
              <c:showCatName val="0"/>
              <c:showSerName val="0"/>
              <c:showPercent val="0"/>
              <c:showBubbleSize val="0"/>
              <c:extLst>
                <c:ext xmlns:c15="http://schemas.microsoft.com/office/drawing/2012/chart" uri="{CE6537A1-D6FC-4f65-9D91-7224C49458BB}"/>
              </c:extLst>
            </c:dLbl>
            <c:dLbl>
              <c:idx val="5"/>
              <c:layout>
                <c:manualLayout>
                  <c:x val="0"/>
                  <c:y val="-0.25526311260272799"/>
                </c:manualLayout>
              </c:layout>
              <c:dLblPos val="ctr"/>
              <c:showLegendKey val="0"/>
              <c:showVal val="1"/>
              <c:showCatName val="0"/>
              <c:showSerName val="0"/>
              <c:showPercent val="0"/>
              <c:showBubbleSize val="0"/>
              <c:extLst>
                <c:ext xmlns:c15="http://schemas.microsoft.com/office/drawing/2012/chart" uri="{CE6537A1-D6FC-4f65-9D91-7224C49458BB}"/>
              </c:extLst>
            </c:dLbl>
            <c:dLbl>
              <c:idx val="6"/>
              <c:layout>
                <c:manualLayout>
                  <c:x val="0"/>
                  <c:y val="-0.30228045264833697"/>
                </c:manualLayout>
              </c:layout>
              <c:dLblPos val="ctr"/>
              <c:showLegendKey val="0"/>
              <c:showVal val="1"/>
              <c:showCatName val="0"/>
              <c:showSerName val="0"/>
              <c:showPercent val="0"/>
              <c:showBubbleSize val="0"/>
              <c:extLst>
                <c:ext xmlns:c15="http://schemas.microsoft.com/office/drawing/2012/chart" uri="{CE6537A1-D6FC-4f65-9D91-7224C49458BB}"/>
              </c:extLst>
            </c:dLbl>
            <c:dLbl>
              <c:idx val="7"/>
              <c:layout>
                <c:manualLayout>
                  <c:x val="0"/>
                  <c:y val="-0.33333204251107956"/>
                </c:manualLayout>
              </c:layout>
              <c:dLblPos val="ctr"/>
              <c:showLegendKey val="0"/>
              <c:showVal val="1"/>
              <c:showCatName val="0"/>
              <c:showSerName val="0"/>
              <c:showPercent val="0"/>
              <c:showBubbleSize val="0"/>
              <c:extLst>
                <c:ext xmlns:c15="http://schemas.microsoft.com/office/drawing/2012/chart" uri="{CE6537A1-D6FC-4f65-9D91-7224C49458BB}"/>
              </c:extLst>
            </c:dLbl>
            <c:dLbl>
              <c:idx val="8"/>
              <c:layout>
                <c:manualLayout>
                  <c:x val="0"/>
                  <c:y val="-0.33430790413493394"/>
                </c:manualLayout>
              </c:layout>
              <c:dLblPos val="ctr"/>
              <c:showLegendKey val="0"/>
              <c:showVal val="1"/>
              <c:showCatName val="0"/>
              <c:showSerName val="0"/>
              <c:showPercent val="0"/>
              <c:showBubbleSize val="0"/>
              <c:extLst>
                <c:ext xmlns:c15="http://schemas.microsoft.com/office/drawing/2012/chart" uri="{CE6537A1-D6FC-4f65-9D91-7224C49458BB}"/>
              </c:extLst>
            </c:dLbl>
            <c:dLbl>
              <c:idx val="9"/>
              <c:layout>
                <c:manualLayout>
                  <c:x val="0"/>
                  <c:y val="-0.34734391807581427"/>
                </c:manualLayout>
              </c:layout>
              <c:dLblPos val="ctr"/>
              <c:showLegendKey val="0"/>
              <c:showVal val="1"/>
              <c:showCatName val="0"/>
              <c:showSerName val="0"/>
              <c:showPercent val="0"/>
              <c:showBubbleSize val="0"/>
              <c:extLst>
                <c:ext xmlns:c15="http://schemas.microsoft.com/office/drawing/2012/chart" uri="{CE6537A1-D6FC-4f65-9D91-7224C49458BB}"/>
              </c:extLst>
            </c:dLbl>
            <c:dLbl>
              <c:idx val="10"/>
              <c:layout>
                <c:manualLayout>
                  <c:x val="2.3148148148148147E-3"/>
                  <c:y val="-0.37421754657716966"/>
                </c:manualLayout>
              </c:layout>
              <c:dLblPos val="ctr"/>
              <c:showLegendKey val="0"/>
              <c:showVal val="1"/>
              <c:showCatName val="0"/>
              <c:showSerName val="0"/>
              <c:showPercent val="0"/>
              <c:showBubbleSize val="0"/>
              <c:extLst>
                <c:ext xmlns:c15="http://schemas.microsoft.com/office/drawing/2012/chart" uri="{CE6537A1-D6FC-4f65-9D91-7224C49458BB}"/>
              </c:extLst>
            </c:dLbl>
            <c:numFmt formatCode="#,##0" sourceLinked="0"/>
            <c:spPr>
              <a:noFill/>
              <a:ln w="25342">
                <a:noFill/>
              </a:ln>
            </c:spPr>
            <c:txPr>
              <a:bodyPr/>
              <a:lstStyle/>
              <a:p>
                <a:pPr>
                  <a:defRPr sz="898" b="0" i="0" u="none" strike="noStrike" baseline="0">
                    <a:solidFill>
                      <a:srgbClr val="333333"/>
                    </a:solidFill>
                    <a:latin typeface="Calibri"/>
                    <a:ea typeface="Calibri"/>
                    <a:cs typeface="Calibri"/>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Лист1!$B$2:$B$12</c:f>
              <c:numCache>
                <c:formatCode>General</c:formatCode>
                <c:ptCount val="11"/>
                <c:pt idx="0">
                  <c:v>455375</c:v>
                </c:pt>
                <c:pt idx="1">
                  <c:v>468029</c:v>
                </c:pt>
                <c:pt idx="2">
                  <c:v>469195</c:v>
                </c:pt>
                <c:pt idx="3">
                  <c:v>475432</c:v>
                </c:pt>
                <c:pt idx="4">
                  <c:v>485387</c:v>
                </c:pt>
                <c:pt idx="5">
                  <c:v>490734</c:v>
                </c:pt>
                <c:pt idx="6">
                  <c:v>504975</c:v>
                </c:pt>
                <c:pt idx="7">
                  <c:v>516874</c:v>
                </c:pt>
                <c:pt idx="8">
                  <c:v>522410</c:v>
                </c:pt>
                <c:pt idx="9">
                  <c:v>525931</c:v>
                </c:pt>
                <c:pt idx="10">
                  <c:v>535887</c:v>
                </c:pt>
              </c:numCache>
            </c:numRef>
          </c:val>
        </c:ser>
        <c:dLbls>
          <c:showLegendKey val="0"/>
          <c:showVal val="0"/>
          <c:showCatName val="0"/>
          <c:showSerName val="0"/>
          <c:showPercent val="0"/>
          <c:showBubbleSize val="0"/>
        </c:dLbls>
        <c:gapWidth val="150"/>
        <c:overlap val="100"/>
        <c:axId val="702006400"/>
        <c:axId val="702007936"/>
      </c:barChart>
      <c:catAx>
        <c:axId val="702006400"/>
        <c:scaling>
          <c:orientation val="minMax"/>
        </c:scaling>
        <c:delete val="0"/>
        <c:axPos val="b"/>
        <c:numFmt formatCode="General" sourceLinked="1"/>
        <c:majorTickMark val="none"/>
        <c:minorTickMark val="none"/>
        <c:tickLblPos val="nextTo"/>
        <c:spPr>
          <a:noFill/>
          <a:ln w="19006" cap="flat" cmpd="sng" algn="ctr">
            <a:solidFill>
              <a:schemeClr val="tx1">
                <a:lumMod val="25000"/>
                <a:lumOff val="75000"/>
              </a:schemeClr>
            </a:solidFill>
            <a:round/>
          </a:ln>
          <a:effectLst/>
        </c:spPr>
        <c:txPr>
          <a:bodyPr rot="0" vert="horz"/>
          <a:lstStyle/>
          <a:p>
            <a:pPr>
              <a:defRPr sz="898" b="0" i="0" u="none" strike="noStrike" baseline="0">
                <a:solidFill>
                  <a:srgbClr val="333333"/>
                </a:solidFill>
                <a:latin typeface="Calibri"/>
                <a:ea typeface="Calibri"/>
                <a:cs typeface="Calibri"/>
              </a:defRPr>
            </a:pPr>
            <a:endParaRPr lang="ru-RU"/>
          </a:p>
        </c:txPr>
        <c:crossAx val="702007936"/>
        <c:crosses val="autoZero"/>
        <c:auto val="1"/>
        <c:lblAlgn val="ctr"/>
        <c:lblOffset val="100"/>
        <c:noMultiLvlLbl val="0"/>
      </c:catAx>
      <c:valAx>
        <c:axId val="702007936"/>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ln w="9504">
            <a:noFill/>
          </a:ln>
        </c:spPr>
        <c:txPr>
          <a:bodyPr rot="0" vert="horz"/>
          <a:lstStyle/>
          <a:p>
            <a:pPr>
              <a:defRPr sz="898" b="0" i="0" u="none" strike="noStrike" baseline="0">
                <a:solidFill>
                  <a:srgbClr val="333333"/>
                </a:solidFill>
                <a:latin typeface="Calibri"/>
                <a:ea typeface="Calibri"/>
                <a:cs typeface="Calibri"/>
              </a:defRPr>
            </a:pPr>
            <a:endParaRPr lang="ru-RU"/>
          </a:p>
        </c:txPr>
        <c:crossAx val="702006400"/>
        <c:crosses val="autoZero"/>
        <c:crossBetween val="between"/>
      </c:valAx>
      <c:spPr>
        <a:noFill/>
        <a:ln w="25357">
          <a:noFill/>
        </a:ln>
      </c:spPr>
    </c:plotArea>
    <c:plotVisOnly val="1"/>
    <c:dispBlanksAs val="gap"/>
    <c:showDLblsOverMax val="0"/>
  </c:chart>
  <c:spPr>
    <a:solidFill>
      <a:schemeClr val="bg1"/>
    </a:solidFill>
    <a:ln w="9504" cap="flat" cmpd="sng" algn="ctr">
      <a:solidFill>
        <a:schemeClr val="tx1">
          <a:lumMod val="15000"/>
          <a:lumOff val="85000"/>
        </a:schemeClr>
      </a:solidFill>
      <a:round/>
    </a:ln>
    <a:effectLst/>
  </c:spPr>
  <c:txPr>
    <a:bodyPr/>
    <a:lstStyle/>
    <a:p>
      <a:pPr>
        <a:defRPr sz="898" b="0" i="0" u="none" strike="noStrike" baseline="0">
          <a:solidFill>
            <a:srgbClr val="000000"/>
          </a:solidFill>
          <a:latin typeface="Calibri"/>
          <a:ea typeface="Calibri"/>
          <a:cs typeface="Calibri"/>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"Грубый" показатель на 100 000 населения</c:v>
                </c:pt>
              </c:strCache>
            </c:strRef>
          </c:tx>
          <c:spPr>
            <a:solidFill>
              <a:srgbClr val="4F81BD"/>
            </a:solidFill>
            <a:ln w="25398">
              <a:noFill/>
            </a:ln>
          </c:spPr>
          <c:invertIfNegative val="0"/>
          <c:dLbls>
            <c:numFmt formatCode="#,##0" sourceLinked="0"/>
            <c:spPr>
              <a:noFill/>
              <a:ln w="2539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Лист1!$B$2:$B$12</c:f>
              <c:numCache>
                <c:formatCode>General</c:formatCode>
                <c:ptCount val="11"/>
                <c:pt idx="0">
                  <c:v>317.44</c:v>
                </c:pt>
                <c:pt idx="1">
                  <c:v>328</c:v>
                </c:pt>
                <c:pt idx="2">
                  <c:v>330.51</c:v>
                </c:pt>
                <c:pt idx="3">
                  <c:v>333.67</c:v>
                </c:pt>
                <c:pt idx="4">
                  <c:v>341.55</c:v>
                </c:pt>
                <c:pt idx="5">
                  <c:v>345.69</c:v>
                </c:pt>
                <c:pt idx="6">
                  <c:v>355.84</c:v>
                </c:pt>
                <c:pt idx="7">
                  <c:v>364.22</c:v>
                </c:pt>
                <c:pt idx="8">
                  <c:v>365.42</c:v>
                </c:pt>
                <c:pt idx="9">
                  <c:v>367.29</c:v>
                </c:pt>
                <c:pt idx="10">
                  <c:v>373.42</c:v>
                </c:pt>
              </c:numCache>
            </c:numRef>
          </c:val>
        </c:ser>
        <c:ser>
          <c:idx val="1"/>
          <c:order val="1"/>
          <c:tx>
            <c:strRef>
              <c:f>Лист1!$C$1</c:f>
              <c:strCache>
                <c:ptCount val="1"/>
                <c:pt idx="0">
                  <c:v>Стандартизированный показатель на 100 000 населения, мировой стандарт</c:v>
                </c:pt>
              </c:strCache>
            </c:strRef>
          </c:tx>
          <c:spPr>
            <a:solidFill>
              <a:srgbClr val="C0504D"/>
            </a:solidFill>
            <a:ln w="25398">
              <a:noFill/>
            </a:ln>
          </c:spPr>
          <c:invertIfNegative val="0"/>
          <c:dLbls>
            <c:dLbl>
              <c:idx val="0"/>
              <c:layout>
                <c:manualLayout>
                  <c:x val="6.9444444444444441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6.9444444444444232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6.9444444444444024E-3"/>
                  <c:y val="-4.5266966784071083E-1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6.9444444444444866E-3"/>
                  <c:y val="-4.5266966784071083E-1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6.9444444444443599E-3"/>
                  <c:y val="-4.5266966784071083E-1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6.9444444444444441E-3"/>
                  <c:y val="-4.5266966784071083E-1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6.9444444444443599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4.6296296296296294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layout>
                <c:manualLayout>
                  <c:x val="6.9444444444444441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9.2592592592590887E-3"/>
                  <c:y val="0"/>
                </c:manualLayout>
              </c:layout>
              <c:dLblPos val="outEnd"/>
              <c:showLegendKey val="0"/>
              <c:showVal val="1"/>
              <c:showCatName val="0"/>
              <c:showSerName val="0"/>
              <c:showPercent val="0"/>
              <c:showBubbleSize val="0"/>
              <c:extLst>
                <c:ext xmlns:c15="http://schemas.microsoft.com/office/drawing/2012/chart" uri="{CE6537A1-D6FC-4f65-9D91-7224C49458BB}"/>
              </c:extLst>
            </c:dLbl>
            <c:numFmt formatCode="#,##0" sourceLinked="0"/>
            <c:spPr>
              <a:noFill/>
              <a:ln w="2539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Лист1!$C$2:$C$12</c:f>
              <c:numCache>
                <c:formatCode>General</c:formatCode>
                <c:ptCount val="11"/>
                <c:pt idx="0">
                  <c:v>211.35</c:v>
                </c:pt>
                <c:pt idx="1">
                  <c:v>215.34</c:v>
                </c:pt>
                <c:pt idx="2">
                  <c:v>215.79</c:v>
                </c:pt>
                <c:pt idx="3">
                  <c:v>217.88</c:v>
                </c:pt>
                <c:pt idx="4">
                  <c:v>221.56</c:v>
                </c:pt>
                <c:pt idx="5">
                  <c:v>222.9</c:v>
                </c:pt>
                <c:pt idx="6">
                  <c:v>227.37</c:v>
                </c:pt>
                <c:pt idx="7">
                  <c:v>231.06</c:v>
                </c:pt>
                <c:pt idx="8">
                  <c:v>228.07</c:v>
                </c:pt>
                <c:pt idx="9">
                  <c:v>227.55</c:v>
                </c:pt>
                <c:pt idx="10">
                  <c:v>229.22</c:v>
                </c:pt>
              </c:numCache>
            </c:numRef>
          </c:val>
        </c:ser>
        <c:dLbls>
          <c:showLegendKey val="0"/>
          <c:showVal val="0"/>
          <c:showCatName val="0"/>
          <c:showSerName val="0"/>
          <c:showPercent val="0"/>
          <c:showBubbleSize val="0"/>
        </c:dLbls>
        <c:gapWidth val="219"/>
        <c:overlap val="-27"/>
        <c:axId val="704421888"/>
        <c:axId val="704423424"/>
      </c:barChart>
      <c:catAx>
        <c:axId val="704421888"/>
        <c:scaling>
          <c:orientation val="minMax"/>
        </c:scaling>
        <c:delete val="0"/>
        <c:axPos val="b"/>
        <c:numFmt formatCode="General" sourceLinked="1"/>
        <c:majorTickMark val="none"/>
        <c:minorTickMark val="none"/>
        <c:tickLblPos val="nextTo"/>
        <c:spPr>
          <a:noFill/>
          <a:ln w="9511"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4423424"/>
        <c:crosses val="autoZero"/>
        <c:auto val="1"/>
        <c:lblAlgn val="ctr"/>
        <c:lblOffset val="100"/>
        <c:noMultiLvlLbl val="0"/>
      </c:catAx>
      <c:valAx>
        <c:axId val="704423424"/>
        <c:scaling>
          <c:orientation val="minMax"/>
        </c:scaling>
        <c:delete val="0"/>
        <c:axPos val="l"/>
        <c:majorGridlines>
          <c:spPr>
            <a:ln w="9511" cap="flat" cmpd="sng" algn="ctr">
              <a:solidFill>
                <a:schemeClr val="tx1">
                  <a:lumMod val="15000"/>
                  <a:lumOff val="85000"/>
                </a:schemeClr>
              </a:solidFill>
              <a:round/>
            </a:ln>
            <a:effectLst/>
          </c:spPr>
        </c:majorGridlines>
        <c:numFmt formatCode="General" sourceLinked="1"/>
        <c:majorTickMark val="none"/>
        <c:minorTickMark val="none"/>
        <c:tickLblPos val="nextTo"/>
        <c:spPr>
          <a:ln w="9524">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704421888"/>
        <c:crosses val="autoZero"/>
        <c:crossBetween val="between"/>
      </c:valAx>
      <c:spPr>
        <a:noFill/>
        <a:ln w="25398">
          <a:noFill/>
        </a:ln>
      </c:spPr>
    </c:plotArea>
    <c:legend>
      <c:legendPos val="b"/>
      <c:overlay val="0"/>
      <c:spPr>
        <a:noFill/>
        <a:ln w="25398">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11"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24</Pages>
  <Words>7480</Words>
  <Characters>42638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Сидорова Н.П.</dc:creator>
  <cp:lastModifiedBy>Сидорова Н.П.</cp:lastModifiedBy>
  <cp:revision>3</cp:revision>
  <dcterms:created xsi:type="dcterms:W3CDTF">2016-09-24T07:47:00Z</dcterms:created>
  <dcterms:modified xsi:type="dcterms:W3CDTF">2016-09-24T13:14:00Z</dcterms:modified>
</cp:coreProperties>
</file>